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D96F" w14:textId="28CCF409" w:rsidR="00EC2E12" w:rsidRDefault="00EC2E12" w:rsidP="00EC2E12">
      <w:pPr>
        <w:spacing w:line="540" w:lineRule="exact"/>
        <w:ind w:firstLineChars="200" w:firstLine="480"/>
        <w:jc w:val="both"/>
        <w:rPr>
          <w:rFonts w:ascii="楷体" w:eastAsia="楷体" w:hAnsi="楷体" w:cs="楷体"/>
          <w:b/>
          <w:bCs/>
          <w:kern w:val="0"/>
        </w:rPr>
      </w:pPr>
      <w:r>
        <w:rPr>
          <w:noProof/>
        </w:rPr>
        <w:drawing>
          <wp:anchor distT="0" distB="0" distL="114300" distR="114300" simplePos="0" relativeHeight="251659264" behindDoc="0" locked="0" layoutInCell="1" allowOverlap="1" wp14:anchorId="39279294" wp14:editId="67DB0305">
            <wp:simplePos x="0" y="0"/>
            <wp:positionH relativeFrom="column">
              <wp:posOffset>4218940</wp:posOffset>
            </wp:positionH>
            <wp:positionV relativeFrom="paragraph">
              <wp:posOffset>96</wp:posOffset>
            </wp:positionV>
            <wp:extent cx="1043940" cy="401320"/>
            <wp:effectExtent l="0" t="0" r="10160" b="5080"/>
            <wp:wrapSquare wrapText="bothSides"/>
            <wp:docPr id="7" name="图片 7" descr="黑白色的标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黑白色的标志&#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43940" cy="401320"/>
                    </a:xfrm>
                    <a:prstGeom prst="rect">
                      <a:avLst/>
                    </a:prstGeom>
                    <a:noFill/>
                    <a:ln>
                      <a:noFill/>
                    </a:ln>
                  </pic:spPr>
                </pic:pic>
              </a:graphicData>
            </a:graphic>
          </wp:anchor>
        </w:drawing>
      </w:r>
    </w:p>
    <w:p w14:paraId="3820F072" w14:textId="77777777" w:rsidR="00EC2E12" w:rsidRDefault="00EC2E12" w:rsidP="00EC2E12">
      <w:pPr>
        <w:spacing w:line="540" w:lineRule="exact"/>
        <w:ind w:firstLineChars="200" w:firstLine="723"/>
        <w:jc w:val="center"/>
        <w:rPr>
          <w:rFonts w:ascii="黑体" w:eastAsia="黑体" w:hAnsi="黑体" w:cs="楷体"/>
          <w:b/>
          <w:bCs/>
          <w:kern w:val="0"/>
          <w:sz w:val="36"/>
          <w:szCs w:val="36"/>
        </w:rPr>
      </w:pPr>
    </w:p>
    <w:p w14:paraId="771FCD4F" w14:textId="1F66719A" w:rsidR="00EC2E12" w:rsidRPr="006E5DC9" w:rsidRDefault="00EC2E12" w:rsidP="00B2400E">
      <w:pPr>
        <w:spacing w:line="540" w:lineRule="exact"/>
        <w:jc w:val="center"/>
        <w:rPr>
          <w:rFonts w:ascii="黑体" w:eastAsia="黑体" w:hAnsi="黑体" w:cs="楷体"/>
          <w:b/>
          <w:bCs/>
          <w:kern w:val="0"/>
          <w:sz w:val="32"/>
          <w:szCs w:val="32"/>
        </w:rPr>
      </w:pPr>
      <w:r w:rsidRPr="006E5DC9">
        <w:rPr>
          <w:rFonts w:ascii="黑体" w:eastAsia="黑体" w:hAnsi="黑体" w:cs="楷体" w:hint="eastAsia"/>
          <w:b/>
          <w:bCs/>
          <w:kern w:val="0"/>
          <w:sz w:val="32"/>
          <w:szCs w:val="32"/>
        </w:rPr>
        <w:t>刘华锋律师简介</w:t>
      </w:r>
    </w:p>
    <w:p w14:paraId="57E1C4C7" w14:textId="77777777" w:rsidR="00EC2E12" w:rsidRDefault="00EC2E12" w:rsidP="00EC2E12">
      <w:pPr>
        <w:spacing w:line="540" w:lineRule="exact"/>
        <w:ind w:firstLineChars="200" w:firstLine="482"/>
        <w:jc w:val="both"/>
        <w:rPr>
          <w:rFonts w:ascii="楷体" w:eastAsia="楷体" w:hAnsi="楷体" w:cs="楷体"/>
          <w:b/>
          <w:bCs/>
          <w:kern w:val="0"/>
        </w:rPr>
      </w:pPr>
    </w:p>
    <w:p w14:paraId="203D1DDA" w14:textId="3C1C8A07" w:rsidR="00B2400E" w:rsidRPr="00533F7D" w:rsidRDefault="00EC2E12" w:rsidP="00B2400E">
      <w:pPr>
        <w:spacing w:line="540" w:lineRule="exact"/>
        <w:ind w:firstLineChars="200" w:firstLine="562"/>
        <w:jc w:val="both"/>
        <w:rPr>
          <w:rFonts w:ascii="楷体" w:eastAsia="楷体" w:hAnsi="楷体" w:cs="楷体"/>
          <w:kern w:val="0"/>
          <w:sz w:val="28"/>
          <w:szCs w:val="28"/>
        </w:rPr>
      </w:pPr>
      <w:r w:rsidRPr="00533F7D">
        <w:rPr>
          <w:rFonts w:ascii="楷体" w:eastAsia="楷体" w:hAnsi="楷体" w:cs="楷体" w:hint="eastAsia"/>
          <w:b/>
          <w:bCs/>
          <w:kern w:val="0"/>
          <w:sz w:val="28"/>
          <w:szCs w:val="28"/>
        </w:rPr>
        <w:t xml:space="preserve">刘华锋律师 </w:t>
      </w:r>
      <w:r w:rsidR="00C14796">
        <w:rPr>
          <w:rFonts w:ascii="楷体" w:eastAsia="楷体" w:hAnsi="楷体" w:cs="楷体" w:hint="eastAsia"/>
          <w:b/>
          <w:bCs/>
          <w:kern w:val="0"/>
          <w:sz w:val="28"/>
          <w:szCs w:val="28"/>
        </w:rPr>
        <w:t>原</w:t>
      </w:r>
      <w:r w:rsidR="00C14796" w:rsidRPr="00533F7D">
        <w:rPr>
          <w:rFonts w:ascii="楷体" w:eastAsia="楷体" w:hAnsi="楷体" w:cs="楷体" w:hint="eastAsia"/>
          <w:b/>
          <w:bCs/>
          <w:kern w:val="0"/>
          <w:sz w:val="28"/>
          <w:szCs w:val="28"/>
        </w:rPr>
        <w:t>上海市某区法院刑庭副庭长</w:t>
      </w:r>
      <w:r w:rsidR="00C14796">
        <w:rPr>
          <w:rFonts w:ascii="楷体" w:eastAsia="楷体" w:hAnsi="楷体" w:cs="楷体" w:hint="eastAsia"/>
          <w:b/>
          <w:bCs/>
          <w:kern w:val="0"/>
          <w:sz w:val="28"/>
          <w:szCs w:val="28"/>
        </w:rPr>
        <w:t>、</w:t>
      </w:r>
      <w:r w:rsidR="00141884">
        <w:rPr>
          <w:rFonts w:ascii="楷体" w:eastAsia="楷体" w:hAnsi="楷体" w:cs="楷体" w:hint="eastAsia"/>
          <w:b/>
          <w:bCs/>
          <w:kern w:val="0"/>
          <w:sz w:val="28"/>
          <w:szCs w:val="28"/>
        </w:rPr>
        <w:t>现</w:t>
      </w:r>
      <w:r w:rsidRPr="00C14796">
        <w:rPr>
          <w:rFonts w:ascii="楷体" w:eastAsia="楷体" w:hAnsi="楷体" w:cs="楷体" w:hint="eastAsia"/>
          <w:b/>
          <w:bCs/>
          <w:kern w:val="0"/>
          <w:sz w:val="28"/>
          <w:szCs w:val="28"/>
        </w:rPr>
        <w:t>泰和泰</w:t>
      </w:r>
      <w:r w:rsidRPr="00C14796">
        <w:rPr>
          <w:rFonts w:ascii="楷体" w:eastAsia="楷体" w:hAnsi="楷体" w:cs="楷体"/>
          <w:b/>
          <w:bCs/>
          <w:kern w:val="0"/>
          <w:sz w:val="28"/>
          <w:szCs w:val="28"/>
        </w:rPr>
        <w:t>(</w:t>
      </w:r>
      <w:r w:rsidRPr="00C14796">
        <w:rPr>
          <w:rFonts w:ascii="楷体" w:eastAsia="楷体" w:hAnsi="楷体" w:cs="楷体" w:hint="eastAsia"/>
          <w:b/>
          <w:bCs/>
          <w:kern w:val="0"/>
          <w:sz w:val="28"/>
          <w:szCs w:val="28"/>
        </w:rPr>
        <w:t>上海</w:t>
      </w:r>
      <w:r w:rsidRPr="00C14796">
        <w:rPr>
          <w:rFonts w:ascii="楷体" w:eastAsia="楷体" w:hAnsi="楷体" w:cs="楷体"/>
          <w:b/>
          <w:bCs/>
          <w:kern w:val="0"/>
          <w:sz w:val="28"/>
          <w:szCs w:val="28"/>
        </w:rPr>
        <w:t>)</w:t>
      </w:r>
      <w:r w:rsidRPr="00C14796">
        <w:rPr>
          <w:rFonts w:ascii="楷体" w:eastAsia="楷体" w:hAnsi="楷体" w:cs="楷体" w:hint="eastAsia"/>
          <w:b/>
          <w:bCs/>
          <w:kern w:val="0"/>
          <w:sz w:val="28"/>
          <w:szCs w:val="28"/>
        </w:rPr>
        <w:t>律师事务所</w:t>
      </w:r>
      <w:r w:rsidR="00C14796" w:rsidRPr="00C14796">
        <w:rPr>
          <w:rFonts w:ascii="楷体" w:eastAsia="楷体" w:hAnsi="楷体" w:cs="楷体" w:hint="eastAsia"/>
          <w:b/>
          <w:bCs/>
          <w:kern w:val="0"/>
          <w:sz w:val="28"/>
          <w:szCs w:val="28"/>
        </w:rPr>
        <w:t>刑事部主任</w:t>
      </w:r>
      <w:r w:rsidR="00C14796">
        <w:rPr>
          <w:rFonts w:ascii="楷体" w:eastAsia="楷体" w:hAnsi="楷体" w:cs="楷体" w:hint="eastAsia"/>
          <w:b/>
          <w:bCs/>
          <w:kern w:val="0"/>
          <w:sz w:val="28"/>
          <w:szCs w:val="28"/>
        </w:rPr>
        <w:t>、</w:t>
      </w:r>
      <w:r w:rsidR="00087912">
        <w:rPr>
          <w:rFonts w:ascii="楷体" w:eastAsia="楷体" w:hAnsi="楷体" w:cs="楷体" w:hint="eastAsia"/>
          <w:b/>
          <w:bCs/>
          <w:kern w:val="0"/>
          <w:sz w:val="28"/>
          <w:szCs w:val="28"/>
        </w:rPr>
        <w:t>中国犯罪学学会预防犯罪专业委员会理事、</w:t>
      </w:r>
      <w:r w:rsidRPr="00C14796">
        <w:rPr>
          <w:rFonts w:ascii="楷体" w:eastAsia="楷体" w:hAnsi="楷体" w:cs="楷体" w:hint="eastAsia"/>
          <w:b/>
          <w:bCs/>
          <w:kern w:val="0"/>
          <w:sz w:val="28"/>
          <w:szCs w:val="28"/>
        </w:rPr>
        <w:t>上海市犯罪学学会理事</w:t>
      </w:r>
      <w:r w:rsidR="00B2400E" w:rsidRPr="00533F7D">
        <w:rPr>
          <w:rFonts w:ascii="楷体" w:eastAsia="楷体" w:hAnsi="楷体" w:cs="楷体" w:hint="eastAsia"/>
          <w:kern w:val="0"/>
          <w:sz w:val="28"/>
          <w:szCs w:val="28"/>
        </w:rPr>
        <w:t>。</w:t>
      </w:r>
    </w:p>
    <w:p w14:paraId="0429A215" w14:textId="18D85CEF" w:rsidR="00D71AFC" w:rsidRPr="00533F7D" w:rsidRDefault="00141884" w:rsidP="00EC2E12">
      <w:pPr>
        <w:spacing w:line="540" w:lineRule="exact"/>
        <w:ind w:firstLineChars="200" w:firstLine="560"/>
        <w:jc w:val="both"/>
        <w:rPr>
          <w:rFonts w:ascii="楷体" w:eastAsia="楷体" w:hAnsi="楷体" w:cs="楷体"/>
          <w:kern w:val="0"/>
          <w:sz w:val="28"/>
          <w:szCs w:val="28"/>
        </w:rPr>
      </w:pPr>
      <w:r w:rsidRPr="00141884">
        <w:rPr>
          <w:rFonts w:ascii="楷体" w:eastAsia="楷体" w:hAnsi="楷体" w:cs="楷体" w:hint="eastAsia"/>
          <w:kern w:val="0"/>
          <w:sz w:val="28"/>
          <w:szCs w:val="28"/>
        </w:rPr>
        <w:t>刘华锋律师</w:t>
      </w:r>
      <w:r w:rsidR="00EC2E12" w:rsidRPr="00C14796">
        <w:rPr>
          <w:rFonts w:ascii="楷体" w:eastAsia="楷体" w:hAnsi="楷体" w:cs="楷体" w:hint="eastAsia"/>
          <w:kern w:val="0"/>
          <w:sz w:val="28"/>
          <w:szCs w:val="28"/>
        </w:rPr>
        <w:t>从事刑事审判工作1</w:t>
      </w:r>
      <w:r w:rsidR="00EC2E12" w:rsidRPr="00C14796">
        <w:rPr>
          <w:rFonts w:ascii="楷体" w:eastAsia="楷体" w:hAnsi="楷体" w:cs="楷体"/>
          <w:kern w:val="0"/>
          <w:sz w:val="28"/>
          <w:szCs w:val="28"/>
        </w:rPr>
        <w:t>2</w:t>
      </w:r>
      <w:r w:rsidR="00EC2E12" w:rsidRPr="00C14796">
        <w:rPr>
          <w:rFonts w:ascii="楷体" w:eastAsia="楷体" w:hAnsi="楷体" w:cs="楷体" w:hint="eastAsia"/>
          <w:kern w:val="0"/>
          <w:sz w:val="28"/>
          <w:szCs w:val="28"/>
        </w:rPr>
        <w:t>年，共计办理2</w:t>
      </w:r>
      <w:r w:rsidR="00EC2E12" w:rsidRPr="00C14796">
        <w:rPr>
          <w:rFonts w:ascii="楷体" w:eastAsia="楷体" w:hAnsi="楷体" w:cs="楷体"/>
          <w:kern w:val="0"/>
          <w:sz w:val="28"/>
          <w:szCs w:val="28"/>
        </w:rPr>
        <w:t>000</w:t>
      </w:r>
      <w:r w:rsidR="00EC2E12" w:rsidRPr="00C14796">
        <w:rPr>
          <w:rFonts w:ascii="楷体" w:eastAsia="楷体" w:hAnsi="楷体" w:cs="楷体" w:hint="eastAsia"/>
          <w:kern w:val="0"/>
          <w:sz w:val="28"/>
          <w:szCs w:val="28"/>
        </w:rPr>
        <w:t>余件刑事案件，涉及8</w:t>
      </w:r>
      <w:r w:rsidR="00EC2E12" w:rsidRPr="00C14796">
        <w:rPr>
          <w:rFonts w:ascii="楷体" w:eastAsia="楷体" w:hAnsi="楷体" w:cs="楷体"/>
          <w:kern w:val="0"/>
          <w:sz w:val="28"/>
          <w:szCs w:val="28"/>
        </w:rPr>
        <w:t>0</w:t>
      </w:r>
      <w:r w:rsidR="00EC2E12" w:rsidRPr="00C14796">
        <w:rPr>
          <w:rFonts w:ascii="楷体" w:eastAsia="楷体" w:hAnsi="楷体" w:cs="楷体" w:hint="eastAsia"/>
          <w:kern w:val="0"/>
          <w:sz w:val="28"/>
          <w:szCs w:val="28"/>
        </w:rPr>
        <w:t>余个罪名、3</w:t>
      </w:r>
      <w:r w:rsidR="00EC2E12" w:rsidRPr="00C14796">
        <w:rPr>
          <w:rFonts w:ascii="楷体" w:eastAsia="楷体" w:hAnsi="楷体" w:cs="楷体"/>
          <w:kern w:val="0"/>
          <w:sz w:val="28"/>
          <w:szCs w:val="28"/>
        </w:rPr>
        <w:t>000</w:t>
      </w:r>
      <w:r w:rsidR="00EC2E12" w:rsidRPr="00C14796">
        <w:rPr>
          <w:rFonts w:ascii="楷体" w:eastAsia="楷体" w:hAnsi="楷体" w:cs="楷体" w:hint="eastAsia"/>
          <w:kern w:val="0"/>
          <w:sz w:val="28"/>
          <w:szCs w:val="28"/>
        </w:rPr>
        <w:t>余名被告人。其中既包括快鹿集团施某某等人非法集资等一批具有重大社会影响的</w:t>
      </w:r>
      <w:r w:rsidR="00EC2E12" w:rsidRPr="00533F7D">
        <w:rPr>
          <w:rFonts w:ascii="楷体" w:eastAsia="楷体" w:hAnsi="楷体" w:cs="楷体" w:hint="eastAsia"/>
          <w:kern w:val="0"/>
          <w:sz w:val="28"/>
          <w:szCs w:val="28"/>
        </w:rPr>
        <w:t>经济犯罪案件，又包括某地绿化和市容管理局局长朱某某受贿等一批职务犯罪案件。</w:t>
      </w:r>
    </w:p>
    <w:p w14:paraId="2941A542" w14:textId="77777777" w:rsidR="00D71AFC" w:rsidRPr="00533F7D" w:rsidRDefault="00EC2E12" w:rsidP="00EC2E12">
      <w:pPr>
        <w:spacing w:line="540" w:lineRule="exact"/>
        <w:ind w:firstLineChars="200" w:firstLine="560"/>
        <w:jc w:val="both"/>
        <w:rPr>
          <w:rFonts w:ascii="楷体" w:eastAsia="楷体" w:hAnsi="楷体" w:cs="楷体"/>
          <w:kern w:val="0"/>
          <w:sz w:val="28"/>
          <w:szCs w:val="28"/>
        </w:rPr>
      </w:pPr>
      <w:r w:rsidRPr="00533F7D">
        <w:rPr>
          <w:rFonts w:ascii="楷体" w:eastAsia="楷体" w:hAnsi="楷体" w:cs="楷体" w:hint="eastAsia"/>
          <w:kern w:val="0"/>
          <w:sz w:val="28"/>
          <w:szCs w:val="28"/>
        </w:rPr>
        <w:t>办理的张某某生产、销售不符合安全标准的食品案被评为最高人民法院食品药品典型案例，撰写的王某某盗窃案被评为最高人民法院网络司法典型案例，撰写的《刑事庭审100问》及《刑事案件量刑的5个考量要点》等文章被最高人民法院司法案例研究院刊载。</w:t>
      </w:r>
    </w:p>
    <w:p w14:paraId="2D1D0790" w14:textId="77777777" w:rsidR="00D71AFC" w:rsidRPr="00533F7D" w:rsidRDefault="00EC2E12" w:rsidP="00EC2E12">
      <w:pPr>
        <w:spacing w:line="540" w:lineRule="exact"/>
        <w:ind w:firstLineChars="200" w:firstLine="560"/>
        <w:jc w:val="both"/>
        <w:rPr>
          <w:rFonts w:ascii="楷体" w:eastAsia="楷体" w:hAnsi="楷体" w:cs="楷体"/>
          <w:kern w:val="0"/>
          <w:sz w:val="28"/>
          <w:szCs w:val="28"/>
        </w:rPr>
      </w:pPr>
      <w:r w:rsidRPr="00533F7D">
        <w:rPr>
          <w:rFonts w:ascii="楷体" w:eastAsia="楷体" w:hAnsi="楷体" w:cs="楷体" w:hint="eastAsia"/>
          <w:kern w:val="0"/>
          <w:sz w:val="28"/>
          <w:szCs w:val="28"/>
        </w:rPr>
        <w:t>在“法律读库”“刑事实务”“悄悄法律人”等</w:t>
      </w:r>
      <w:r w:rsidR="006E5DC9" w:rsidRPr="00533F7D">
        <w:rPr>
          <w:rFonts w:ascii="楷体" w:eastAsia="楷体" w:hAnsi="楷体" w:cs="楷体" w:hint="eastAsia"/>
          <w:kern w:val="0"/>
          <w:sz w:val="28"/>
          <w:szCs w:val="28"/>
        </w:rPr>
        <w:t>知名</w:t>
      </w:r>
      <w:r w:rsidRPr="00533F7D">
        <w:rPr>
          <w:rFonts w:ascii="楷体" w:eastAsia="楷体" w:hAnsi="楷体" w:cs="楷体" w:hint="eastAsia"/>
          <w:kern w:val="0"/>
          <w:sz w:val="28"/>
          <w:szCs w:val="28"/>
        </w:rPr>
        <w:t>法律公众号平台上发表《如何撰写刑事案件审理报告》《怎样驾驭好刑事庭审》《认罪认罚案件量刑，法官是否沦为摆设》等文章。</w:t>
      </w:r>
    </w:p>
    <w:p w14:paraId="253D2616" w14:textId="2EC1D592" w:rsidR="00D71AFC" w:rsidRPr="00533F7D" w:rsidRDefault="00EC2E12" w:rsidP="00EC2E12">
      <w:pPr>
        <w:spacing w:line="540" w:lineRule="exact"/>
        <w:ind w:firstLineChars="200" w:firstLine="560"/>
        <w:jc w:val="both"/>
        <w:rPr>
          <w:rFonts w:ascii="楷体" w:eastAsia="楷体" w:hAnsi="楷体" w:cs="楷体"/>
          <w:kern w:val="0"/>
          <w:sz w:val="28"/>
          <w:szCs w:val="28"/>
        </w:rPr>
      </w:pPr>
      <w:r w:rsidRPr="00533F7D">
        <w:rPr>
          <w:rFonts w:ascii="楷体" w:eastAsia="楷体" w:hAnsi="楷体" w:cs="楷体" w:hint="eastAsia"/>
          <w:kern w:val="0"/>
          <w:sz w:val="28"/>
          <w:szCs w:val="28"/>
        </w:rPr>
        <w:t>在“智拾网”及“法律名家讲堂”等</w:t>
      </w:r>
      <w:r w:rsidR="006E5DC9" w:rsidRPr="00533F7D">
        <w:rPr>
          <w:rFonts w:ascii="楷体" w:eastAsia="楷体" w:hAnsi="楷体" w:cs="楷体" w:hint="eastAsia"/>
          <w:kern w:val="0"/>
          <w:sz w:val="28"/>
          <w:szCs w:val="28"/>
        </w:rPr>
        <w:t>知名</w:t>
      </w:r>
      <w:r w:rsidRPr="00533F7D">
        <w:rPr>
          <w:rFonts w:ascii="楷体" w:eastAsia="楷体" w:hAnsi="楷体" w:cs="楷体" w:hint="eastAsia"/>
          <w:kern w:val="0"/>
          <w:sz w:val="28"/>
          <w:szCs w:val="28"/>
        </w:rPr>
        <w:t>法律知识平台上讲授《刑事案件如何精准量刑》《刑事证据的清单式审查与认定》《涉刑财产的辩护与代理》</w:t>
      </w:r>
      <w:r w:rsidR="00141884">
        <w:rPr>
          <w:rFonts w:ascii="楷体" w:eastAsia="楷体" w:hAnsi="楷体" w:cs="楷体" w:hint="eastAsia"/>
          <w:kern w:val="0"/>
          <w:sz w:val="28"/>
          <w:szCs w:val="28"/>
        </w:rPr>
        <w:t>《法院参与涉案企业合规的探索》</w:t>
      </w:r>
      <w:r w:rsidRPr="00533F7D">
        <w:rPr>
          <w:rFonts w:ascii="楷体" w:eastAsia="楷体" w:hAnsi="楷体" w:cs="楷体" w:hint="eastAsia"/>
          <w:kern w:val="0"/>
          <w:sz w:val="28"/>
          <w:szCs w:val="28"/>
        </w:rPr>
        <w:t>等系列课程。</w:t>
      </w:r>
    </w:p>
    <w:p w14:paraId="0D6FD800" w14:textId="4DB7F4F4" w:rsidR="00EC2E12" w:rsidRPr="00533F7D" w:rsidRDefault="00EC2E12" w:rsidP="00EC2E12">
      <w:pPr>
        <w:spacing w:line="540" w:lineRule="exact"/>
        <w:ind w:firstLineChars="200" w:firstLine="560"/>
        <w:jc w:val="both"/>
        <w:rPr>
          <w:rFonts w:ascii="楷体" w:eastAsia="楷体" w:hAnsi="楷体" w:cs="楷体"/>
          <w:kern w:val="0"/>
          <w:sz w:val="28"/>
          <w:szCs w:val="28"/>
        </w:rPr>
      </w:pPr>
      <w:r w:rsidRPr="00533F7D">
        <w:rPr>
          <w:rFonts w:ascii="楷体" w:eastAsia="楷体" w:hAnsi="楷体" w:cs="楷体" w:hint="eastAsia"/>
          <w:kern w:val="0"/>
          <w:sz w:val="28"/>
          <w:szCs w:val="28"/>
        </w:rPr>
        <w:t>曾多次受邀至律所、高校、国企开设培训讲座。还曾接受中央电视台社会与法栏目采访，对证人、鉴定人出庭发表相关意见。</w:t>
      </w:r>
    </w:p>
    <w:p w14:paraId="16BE3DFC" w14:textId="77777777" w:rsidR="00EC2E12" w:rsidRPr="00533F7D" w:rsidRDefault="00EC2E12" w:rsidP="00EC2E12">
      <w:pPr>
        <w:jc w:val="both"/>
        <w:rPr>
          <w:rFonts w:ascii="楷体" w:eastAsia="楷体" w:hAnsi="楷体" w:cs="楷体"/>
          <w:kern w:val="0"/>
          <w:sz w:val="28"/>
          <w:szCs w:val="28"/>
        </w:rPr>
      </w:pPr>
    </w:p>
    <w:p w14:paraId="2A77585D" w14:textId="2DA0D09D" w:rsidR="00675C98" w:rsidRPr="00EC2E12" w:rsidRDefault="00675C98" w:rsidP="00EC2E12"/>
    <w:sectPr w:rsidR="00675C98" w:rsidRPr="00EC2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D"/>
    <w:rsid w:val="000247F1"/>
    <w:rsid w:val="00087912"/>
    <w:rsid w:val="00141884"/>
    <w:rsid w:val="002C7C79"/>
    <w:rsid w:val="00533F7D"/>
    <w:rsid w:val="00675C98"/>
    <w:rsid w:val="006E5DC9"/>
    <w:rsid w:val="00B2400E"/>
    <w:rsid w:val="00C14796"/>
    <w:rsid w:val="00D71AFC"/>
    <w:rsid w:val="00DF34DD"/>
    <w:rsid w:val="00EC2E12"/>
    <w:rsid w:val="00F6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023B1A"/>
  <w15:chartTrackingRefBased/>
  <w15:docId w15:val="{BBD440D1-C3C5-1D41-9339-8BCEB6D6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E12"/>
    <w:rPr>
      <w:rFonts w:ascii="Times New Roman" w:eastAsia="仿宋_GB2312"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丽萍</dc:creator>
  <cp:keywords/>
  <dc:description/>
  <cp:lastModifiedBy>丽萍 张</cp:lastModifiedBy>
  <cp:revision>6</cp:revision>
  <dcterms:created xsi:type="dcterms:W3CDTF">2023-03-03T08:02:00Z</dcterms:created>
  <dcterms:modified xsi:type="dcterms:W3CDTF">2023-07-05T01:18:00Z</dcterms:modified>
</cp:coreProperties>
</file>