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Times New Roman" w:hAnsi="Times New Roman" w:eastAsia="黑体"/>
          <w:sz w:val="32"/>
          <w:szCs w:val="32"/>
        </w:rPr>
      </w:pPr>
      <w:bookmarkStart w:id="9" w:name="_GoBack"/>
      <w:bookmarkEnd w:id="9"/>
      <w:r>
        <w:rPr>
          <w:rFonts w:ascii="Times New Roman" w:hAnsi="Times New Roman" w:eastAsia="黑体"/>
          <w:sz w:val="32"/>
          <w:szCs w:val="32"/>
        </w:rPr>
        <w:t>附件1</w:t>
      </w:r>
    </w:p>
    <w:p>
      <w:pPr>
        <w:adjustRightInd w:val="0"/>
        <w:snapToGrid w:val="0"/>
        <w:spacing w:line="560" w:lineRule="exact"/>
        <w:jc w:val="center"/>
        <w:rPr>
          <w:rFonts w:ascii="Times New Roman" w:hAnsi="Times New Roman" w:eastAsia="方正小标宋简体"/>
          <w:spacing w:val="-10"/>
          <w:sz w:val="44"/>
          <w:szCs w:val="44"/>
        </w:rPr>
      </w:pPr>
    </w:p>
    <w:p>
      <w:pPr>
        <w:adjustRightInd w:val="0"/>
        <w:snapToGrid w:val="0"/>
        <w:spacing w:line="560" w:lineRule="exact"/>
        <w:jc w:val="center"/>
        <w:rPr>
          <w:rFonts w:ascii="Times New Roman" w:hAnsi="Times New Roman" w:eastAsia="方正小标宋简体"/>
          <w:spacing w:val="-10"/>
          <w:sz w:val="44"/>
          <w:szCs w:val="44"/>
        </w:rPr>
      </w:pPr>
      <w:r>
        <w:rPr>
          <w:rFonts w:ascii="Times New Roman" w:hAnsi="Times New Roman" w:eastAsia="方正小标宋简体"/>
          <w:spacing w:val="-10"/>
          <w:sz w:val="44"/>
          <w:szCs w:val="44"/>
        </w:rPr>
        <w:t>克拉玛依市律师事务所律师服务费标准制定指引</w:t>
      </w:r>
    </w:p>
    <w:p>
      <w:pPr>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（试行）</w:t>
      </w:r>
    </w:p>
    <w:p>
      <w:pPr>
        <w:adjustRightInd w:val="0"/>
        <w:snapToGrid w:val="0"/>
        <w:spacing w:line="560" w:lineRule="exact"/>
        <w:jc w:val="center"/>
        <w:rPr>
          <w:rFonts w:ascii="Times New Roman" w:hAnsi="Times New Roman" w:eastAsia="方正小标宋简体"/>
          <w:sz w:val="44"/>
          <w:szCs w:val="44"/>
        </w:rPr>
      </w:pPr>
    </w:p>
    <w:p>
      <w:pPr>
        <w:adjustRightInd w:val="0"/>
        <w:snapToGrid w:val="0"/>
        <w:spacing w:afterLines="50"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第一章</w:t>
      </w:r>
      <w:r>
        <w:rPr>
          <w:rFonts w:ascii="Times New Roman" w:hAnsi="Times New Roman" w:eastAsia="黑体"/>
          <w:color w:val="000000" w:themeColor="text1"/>
          <w:sz w:val="32"/>
          <w:szCs w:val="32"/>
          <w14:textFill>
            <w14:solidFill>
              <w14:schemeClr w14:val="tx1"/>
            </w14:solidFill>
          </w14:textFill>
        </w:rPr>
        <w:t xml:space="preserve">  </w:t>
      </w:r>
      <w:r>
        <w:rPr>
          <w:rFonts w:ascii="Times New Roman" w:hAnsi="黑体" w:eastAsia="黑体"/>
          <w:color w:val="000000" w:themeColor="text1"/>
          <w:sz w:val="32"/>
          <w:szCs w:val="32"/>
          <w14:textFill>
            <w14:solidFill>
              <w14:schemeClr w14:val="tx1"/>
            </w14:solidFill>
          </w14:textFill>
        </w:rPr>
        <w:t>总则</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第一条</w:t>
      </w:r>
      <w:r>
        <w:rPr>
          <w:rFonts w:ascii="Times New Roman" w:hAnsi="Times New Roman" w:eastAsia="仿宋_GB2312"/>
          <w:color w:val="000000" w:themeColor="text1"/>
          <w:sz w:val="32"/>
          <w:szCs w:val="32"/>
          <w14:textFill>
            <w14:solidFill>
              <w14:schemeClr w14:val="tx1"/>
            </w14:solidFill>
          </w14:textFill>
        </w:rPr>
        <w:t xml:space="preserve">  为了规范律师事务所律师服务费标准制定相关工作，引导律师履行社会责任，促进律师行业健康发展，根据《司法部 国家发展和改革委员会 国家市场监督管理总局印发〈关于进一步规范律师服务收费的意见〉的通知》（司发通〔2021〕87号，以下简称《意见》），制定本指引。</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第二条</w:t>
      </w:r>
      <w:r>
        <w:rPr>
          <w:rFonts w:ascii="Times New Roman" w:hAnsi="Times New Roman" w:eastAsia="仿宋_GB2312"/>
          <w:color w:val="000000" w:themeColor="text1"/>
          <w:sz w:val="32"/>
          <w:szCs w:val="32"/>
          <w14:textFill>
            <w14:solidFill>
              <w14:schemeClr w14:val="tx1"/>
            </w14:solidFill>
          </w14:textFill>
        </w:rPr>
        <w:t xml:space="preserve">  本指引中的律师服务费是指律师事务所依法接受委托办理法律服务事项，经与委托人协商，向委托人收取的服务报酬。</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提供法律服务过程中代委托人支付的诉讼费、仲裁费、鉴定费、公证费、查档费、保全费、翻译费、异地办案差旅费、专家论证费及其他费用(以下统称“办案费”)，不属于律师服务费，由委托人另行支付。</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第三条</w:t>
      </w:r>
      <w:r>
        <w:rPr>
          <w:rFonts w:ascii="Times New Roman" w:hAnsi="Times New Roman" w:eastAsia="仿宋_GB2312"/>
          <w:color w:val="000000" w:themeColor="text1"/>
          <w:sz w:val="32"/>
          <w:szCs w:val="32"/>
          <w14:textFill>
            <w14:solidFill>
              <w14:schemeClr w14:val="tx1"/>
            </w14:solidFill>
          </w14:textFill>
        </w:rPr>
        <w:t xml:space="preserve">  本指引中的律师服务费标准是指律师事务所根据其提供的法律服务事项和采取的收费方式，设定的每项法律服务事项向委托人收取的律师服务费的数额或者范围、幅度、比例、限额。</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第四条</w:t>
      </w:r>
      <w:r>
        <w:rPr>
          <w:rFonts w:ascii="Times New Roman" w:hAnsi="Times New Roman" w:eastAsia="仿宋_GB2312"/>
          <w:color w:val="000000" w:themeColor="text1"/>
          <w:sz w:val="32"/>
          <w:szCs w:val="32"/>
          <w14:textFill>
            <w14:solidFill>
              <w14:schemeClr w14:val="tx1"/>
            </w14:solidFill>
          </w14:textFill>
        </w:rPr>
        <w:t xml:space="preserve">  律师事务所制定律师服务费标准不得利用低价进行不正当竞争行为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不得采取交叉收费、重复收费、拆分收费等违规收费行为。</w:t>
      </w:r>
    </w:p>
    <w:p>
      <w:pPr>
        <w:adjustRightInd w:val="0"/>
        <w:snapToGrid w:val="0"/>
        <w:spacing w:line="560" w:lineRule="exact"/>
        <w:ind w:firstLine="640" w:firstLineChars="200"/>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律师事务所之间不得采取签订价格垄断协议或者其他协同行为实施不正当竞争，不得以任何行为相互串通、操纵价格。</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  </w:t>
      </w:r>
    </w:p>
    <w:p>
      <w:pPr>
        <w:adjustRightInd w:val="0"/>
        <w:snapToGrid w:val="0"/>
        <w:spacing w:beforeLines="50" w:afterLines="50"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第二章</w:t>
      </w:r>
      <w:r>
        <w:rPr>
          <w:rFonts w:ascii="Times New Roman" w:hAnsi="Times New Roman" w:eastAsia="黑体"/>
          <w:color w:val="000000" w:themeColor="text1"/>
          <w:sz w:val="32"/>
          <w:szCs w:val="32"/>
          <w14:textFill>
            <w14:solidFill>
              <w14:schemeClr w14:val="tx1"/>
            </w14:solidFill>
          </w14:textFill>
        </w:rPr>
        <w:t xml:space="preserve">  </w:t>
      </w:r>
      <w:r>
        <w:rPr>
          <w:rFonts w:ascii="Times New Roman" w:hAnsi="黑体" w:eastAsia="黑体"/>
          <w:color w:val="000000" w:themeColor="text1"/>
          <w:sz w:val="32"/>
          <w:szCs w:val="32"/>
          <w14:textFill>
            <w14:solidFill>
              <w14:schemeClr w14:val="tx1"/>
            </w14:solidFill>
          </w14:textFill>
        </w:rPr>
        <w:t>收费方式</w:t>
      </w:r>
    </w:p>
    <w:p>
      <w:pPr>
        <w:adjustRightInd w:val="0"/>
        <w:snapToGrid w:val="0"/>
        <w:spacing w:line="57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第五条</w:t>
      </w:r>
      <w:r>
        <w:rPr>
          <w:rFonts w:ascii="Times New Roman" w:hAnsi="Times New Roman" w:eastAsia="仿宋_GB2312"/>
          <w:color w:val="000000" w:themeColor="text1"/>
          <w:sz w:val="32"/>
          <w:szCs w:val="32"/>
          <w14:textFill>
            <w14:solidFill>
              <w14:schemeClr w14:val="tx1"/>
            </w14:solidFill>
          </w14:textFill>
        </w:rPr>
        <w:t xml:space="preserve">  律师服务费收费方式包括：计时收费、计件收费、按标的额比例收费和风险代理收费等。</w:t>
      </w:r>
    </w:p>
    <w:p>
      <w:pPr>
        <w:adjustRightInd w:val="0"/>
        <w:snapToGrid w:val="0"/>
        <w:spacing w:line="57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第六条</w:t>
      </w:r>
      <w:r>
        <w:rPr>
          <w:rFonts w:ascii="Times New Roman" w:hAnsi="Times New Roman" w:eastAsia="仿宋_GB2312"/>
          <w:color w:val="000000" w:themeColor="text1"/>
          <w:sz w:val="32"/>
          <w:szCs w:val="32"/>
          <w14:textFill>
            <w14:solidFill>
              <w14:schemeClr w14:val="tx1"/>
            </w14:solidFill>
          </w14:textFill>
        </w:rPr>
        <w:t xml:space="preserve">  计时收费是指律师事务所依法接受委托，按照约定的收费标准，根据其提供法律服务事项耗费的有效工作时间，向委托人收取律师服务费的收费方式。</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计时收费的单位时长可以选择设定为15分钟、30分钟、60分钟或者其他符合习惯的时长。</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律师事务所可以只确定一个单位时长的收费标准，也可以根据律师执业年限、职称、资历、经验、是否被律师协会评定为专业律师等因素，确定多个单位时长的收费标准。</w:t>
      </w:r>
    </w:p>
    <w:p>
      <w:pPr>
        <w:adjustRightInd w:val="0"/>
        <w:snapToGrid w:val="0"/>
        <w:spacing w:line="570" w:lineRule="exact"/>
        <w:ind w:firstLine="619" w:firstLineChars="200"/>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b/>
          <w:color w:val="000000" w:themeColor="text1"/>
          <w:spacing w:val="-6"/>
          <w:sz w:val="32"/>
          <w:szCs w:val="32"/>
          <w14:textFill>
            <w14:solidFill>
              <w14:schemeClr w14:val="tx1"/>
            </w14:solidFill>
          </w14:textFill>
        </w:rPr>
        <w:t>第七条</w:t>
      </w:r>
      <w:r>
        <w:rPr>
          <w:rFonts w:ascii="Times New Roman" w:hAnsi="Times New Roman" w:eastAsia="仿宋_GB2312"/>
          <w:color w:val="000000" w:themeColor="text1"/>
          <w:spacing w:val="-6"/>
          <w:sz w:val="32"/>
          <w:szCs w:val="32"/>
          <w14:textFill>
            <w14:solidFill>
              <w14:schemeClr w14:val="tx1"/>
            </w14:solidFill>
          </w14:textFill>
        </w:rPr>
        <w:t xml:space="preserve">  计件收费是指以每一委托法律服务事项为基本单位，按照提供法律服务事项的数量计算律师服务费额度的收费方式。</w:t>
      </w:r>
    </w:p>
    <w:p>
      <w:pPr>
        <w:adjustRightInd w:val="0"/>
        <w:snapToGrid w:val="0"/>
        <w:spacing w:line="57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第八条</w:t>
      </w:r>
      <w:r>
        <w:rPr>
          <w:rFonts w:ascii="Times New Roman" w:hAnsi="Times New Roman" w:eastAsia="仿宋_GB2312"/>
          <w:color w:val="000000" w:themeColor="text1"/>
          <w:sz w:val="32"/>
          <w:szCs w:val="32"/>
          <w14:textFill>
            <w14:solidFill>
              <w14:schemeClr w14:val="tx1"/>
            </w14:solidFill>
          </w14:textFill>
        </w:rPr>
        <w:t xml:space="preserve">  按标的额比例收费是指按该项法律服务事项所涉及的标的金额的一定比例收取律师服务费的收费方式。按标的额比例收费一般适用于涉及财产关系的法律服务事项。</w:t>
      </w:r>
    </w:p>
    <w:p>
      <w:pPr>
        <w:adjustRightInd w:val="0"/>
        <w:snapToGrid w:val="0"/>
        <w:spacing w:line="57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第九条</w:t>
      </w:r>
      <w:r>
        <w:rPr>
          <w:rFonts w:ascii="Times New Roman" w:hAnsi="Times New Roman" w:eastAsia="仿宋_GB2312"/>
          <w:color w:val="000000" w:themeColor="text1"/>
          <w:sz w:val="32"/>
          <w:szCs w:val="32"/>
          <w14:textFill>
            <w14:solidFill>
              <w14:schemeClr w14:val="tx1"/>
            </w14:solidFill>
          </w14:textFill>
        </w:rPr>
        <w:t xml:space="preserve">  风险代理收费是指律师事务所在接受委托时先收取部分基础费用或者不收取基础费用，</w:t>
      </w:r>
      <w:r>
        <w:rPr>
          <w:rFonts w:hint="eastAsia" w:ascii="Times New Roman" w:hAnsi="Times New Roman" w:eastAsia="仿宋_GB2312"/>
          <w:color w:val="000000" w:themeColor="text1"/>
          <w:sz w:val="32"/>
          <w:szCs w:val="32"/>
          <w:lang w:val="en-US" w:eastAsia="zh-CN"/>
          <w14:textFill>
            <w14:solidFill>
              <w14:schemeClr w14:val="tx1"/>
            </w14:solidFill>
          </w14:textFill>
        </w:rPr>
        <w:t>委托法律服务事项完成时根据是否实现委托目标收取风险服务费。风险服务费按照固定金额或者委托法律服务事项所涉及的标的额一定比例收取，约定条件成就或者部分成就的，按照约定收取；约定条件不成就的，不再收取。</w:t>
      </w:r>
      <w:r>
        <w:rPr>
          <w:rFonts w:ascii="Times New Roman" w:hAnsi="Times New Roman" w:eastAsia="仿宋_GB2312"/>
          <w:color w:val="000000" w:themeColor="text1"/>
          <w:sz w:val="32"/>
          <w:szCs w:val="32"/>
          <w14:textFill>
            <w14:solidFill>
              <w14:schemeClr w14:val="tx1"/>
            </w14:solidFill>
          </w14:textFill>
        </w:rPr>
        <w:t>如约定了收取基础费用的，基础费用和风险费用的总和不得超过本指引第十七条所列的最高收费金额限制。</w:t>
      </w:r>
    </w:p>
    <w:p>
      <w:pPr>
        <w:adjustRightInd w:val="0"/>
        <w:snapToGrid w:val="0"/>
        <w:spacing w:line="57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第十条</w:t>
      </w:r>
      <w:r>
        <w:rPr>
          <w:rFonts w:ascii="Times New Roman" w:hAnsi="Times New Roman" w:eastAsia="仿宋_GB2312"/>
          <w:color w:val="000000" w:themeColor="text1"/>
          <w:sz w:val="32"/>
          <w:szCs w:val="32"/>
          <w14:textFill>
            <w14:solidFill>
              <w14:schemeClr w14:val="tx1"/>
            </w14:solidFill>
          </w14:textFill>
        </w:rPr>
        <w:t xml:space="preserve">  律师事务所律师服务费标准可以根据工作需要就某类法律服务事项依法依规设定一种或者多种收费方式。律师事务所不得以未设定的收费方式收取律师服务费。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律师事务所与委托人签订法律服务合同时，可以在本所律师服务收费标准范围内协商适用一种或者综合适用多种收费方式。</w:t>
      </w:r>
    </w:p>
    <w:p>
      <w:pPr>
        <w:adjustRightInd w:val="0"/>
        <w:snapToGrid w:val="0"/>
        <w:spacing w:beforeLines="50" w:afterLines="50" w:line="57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第三章</w:t>
      </w:r>
      <w:r>
        <w:rPr>
          <w:rFonts w:ascii="Times New Roman" w:hAnsi="Times New Roman" w:eastAsia="黑体"/>
          <w:color w:val="000000" w:themeColor="text1"/>
          <w:sz w:val="32"/>
          <w:szCs w:val="32"/>
          <w14:textFill>
            <w14:solidFill>
              <w14:schemeClr w14:val="tx1"/>
            </w14:solidFill>
          </w14:textFill>
        </w:rPr>
        <w:t xml:space="preserve">  </w:t>
      </w:r>
      <w:r>
        <w:rPr>
          <w:rFonts w:ascii="Times New Roman" w:hAnsi="黑体" w:eastAsia="黑体"/>
          <w:color w:val="000000" w:themeColor="text1"/>
          <w:sz w:val="32"/>
          <w:szCs w:val="32"/>
          <w14:textFill>
            <w14:solidFill>
              <w14:schemeClr w14:val="tx1"/>
            </w14:solidFill>
          </w14:textFill>
        </w:rPr>
        <w:t>收费项目</w:t>
      </w:r>
    </w:p>
    <w:p>
      <w:pPr>
        <w:adjustRightInd w:val="0"/>
        <w:snapToGrid w:val="0"/>
        <w:spacing w:line="57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 xml:space="preserve">第十一条 </w:t>
      </w:r>
      <w:r>
        <w:rPr>
          <w:rFonts w:ascii="Times New Roman" w:hAnsi="Times New Roman" w:eastAsia="仿宋_GB2312"/>
          <w:color w:val="000000" w:themeColor="text1"/>
          <w:sz w:val="32"/>
          <w:szCs w:val="32"/>
          <w14:textFill>
            <w14:solidFill>
              <w14:schemeClr w14:val="tx1"/>
            </w14:solidFill>
          </w14:textFill>
        </w:rPr>
        <w:t xml:space="preserve"> 诉讼仲裁类服务收费，包括以下项目：</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（一）民事诉讼仲裁类服务收费项目，包括民事诉讼服务费、仲裁服务费等；</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（二）行政诉讼复议类服务收费项目，包括行政诉讼服务费、行政复议服务费、行政听证服务费、申请国家赔偿服务费等； </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（三）刑事诉讼类服务收费项目，包括刑事诉讼服务费、刑事附带民事诉讼服务费以及其他刑事诉讼活动中的服务费（如减刑、假释、保外就医、社区矫正、罚金刑的执行、财产没收等）。</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诉讼仲裁类服务收费，按照法律规定的不同阶段（如民事一审、二审、执行、审判监督程序等；仲裁案件参照民事诉讼的一审及执行；行政一审、二审、执行、审判监督程序等；刑事侦查、审查起诉、一审、二审、审判监督程序、死刑复核等）分别计费。发回重审参照一审收费标准。</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律师事务所代理同一案件不同阶段的，在分别计算基础上可以给予优惠。</w:t>
      </w:r>
    </w:p>
    <w:p>
      <w:pPr>
        <w:adjustRightInd w:val="0"/>
        <w:snapToGrid w:val="0"/>
        <w:spacing w:line="57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第十二条</w:t>
      </w:r>
      <w:r>
        <w:rPr>
          <w:rFonts w:ascii="Times New Roman" w:hAnsi="Times New Roman" w:eastAsia="仿宋_GB2312"/>
          <w:color w:val="000000" w:themeColor="text1"/>
          <w:sz w:val="32"/>
          <w:szCs w:val="32"/>
          <w14:textFill>
            <w14:solidFill>
              <w14:schemeClr w14:val="tx1"/>
            </w14:solidFill>
          </w14:textFill>
        </w:rPr>
        <w:t xml:space="preserve">  非诉讼仲裁类服务收费，是指律师事务所办理除诉讼仲裁类服务事项以外的其他法律服务事项的收费，包括以下项目：</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（一）常年法律顾问服务费；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（二）专项法律服务费（含专项法律顾问费）；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（三）法律咨询服务费；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（四）法律论证服务费；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（五）法律培训服务费；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（六）律师见证服务费；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（七）出具律师函、法律意见书、法律咨询回函，以及开展资信调查、法律尽职调查等事项的服务费；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w:t>
      </w:r>
      <w:r>
        <w:rPr>
          <w:rFonts w:ascii="Times New Roman" w:hAnsi="Times New Roman" w:eastAsia="仿宋_GB2312"/>
          <w:color w:val="000000" w:themeColor="text1"/>
          <w:spacing w:val="-6"/>
          <w:sz w:val="32"/>
          <w:szCs w:val="32"/>
          <w14:textFill>
            <w14:solidFill>
              <w14:schemeClr w14:val="tx1"/>
            </w14:solidFill>
          </w14:textFill>
        </w:rPr>
        <w:t>起草、审查</w:t>
      </w:r>
      <w:r>
        <w:rPr>
          <w:rFonts w:hint="eastAsia" w:ascii="Times New Roman" w:hAnsi="Times New Roman" w:eastAsia="仿宋_GB2312"/>
          <w:color w:val="000000" w:themeColor="text1"/>
          <w:spacing w:val="-6"/>
          <w:sz w:val="32"/>
          <w:szCs w:val="32"/>
          <w:lang w:eastAsia="zh-CN"/>
          <w14:textFill>
            <w14:solidFill>
              <w14:schemeClr w14:val="tx1"/>
            </w14:solidFill>
          </w14:textFill>
        </w:rPr>
        <w:t>、</w:t>
      </w:r>
      <w:r>
        <w:rPr>
          <w:rFonts w:ascii="Times New Roman" w:hAnsi="Times New Roman" w:eastAsia="仿宋_GB2312"/>
          <w:color w:val="000000" w:themeColor="text1"/>
          <w:spacing w:val="-6"/>
          <w:sz w:val="32"/>
          <w:szCs w:val="32"/>
          <w14:textFill>
            <w14:solidFill>
              <w14:schemeClr w14:val="tx1"/>
            </w14:solidFill>
          </w14:textFill>
        </w:rPr>
        <w:t>修改合同或者其他文件等事项的服务费；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（九）代书、代办公证，代为声明等事项的服务费；</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（十）参与谈判事务的服务费；</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（十一）其他非诉讼仲裁类法律服务事项的服务费。</w:t>
      </w:r>
    </w:p>
    <w:p>
      <w:pPr>
        <w:adjustRightInd w:val="0"/>
        <w:snapToGrid w:val="0"/>
        <w:spacing w:beforeLines="50" w:afterLines="50"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第四章</w:t>
      </w:r>
      <w:r>
        <w:rPr>
          <w:rFonts w:ascii="Times New Roman" w:hAnsi="Times New Roman" w:eastAsia="黑体"/>
          <w:color w:val="000000" w:themeColor="text1"/>
          <w:sz w:val="32"/>
          <w:szCs w:val="32"/>
          <w14:textFill>
            <w14:solidFill>
              <w14:schemeClr w14:val="tx1"/>
            </w14:solidFill>
          </w14:textFill>
        </w:rPr>
        <w:t xml:space="preserve">  </w:t>
      </w:r>
      <w:r>
        <w:rPr>
          <w:rFonts w:ascii="Times New Roman" w:hAnsi="黑体" w:eastAsia="黑体"/>
          <w:color w:val="000000" w:themeColor="text1"/>
          <w:sz w:val="32"/>
          <w:szCs w:val="32"/>
          <w14:textFill>
            <w14:solidFill>
              <w14:schemeClr w14:val="tx1"/>
            </w14:solidFill>
          </w14:textFill>
        </w:rPr>
        <w:t>收费标准</w:t>
      </w:r>
    </w:p>
    <w:p>
      <w:pPr>
        <w:adjustRightInd w:val="0"/>
        <w:snapToGrid w:val="0"/>
        <w:spacing w:line="57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第十三条</w:t>
      </w:r>
      <w:r>
        <w:rPr>
          <w:rFonts w:ascii="Times New Roman" w:hAnsi="Times New Roman" w:eastAsia="仿宋_GB2312"/>
          <w:color w:val="000000" w:themeColor="text1"/>
          <w:sz w:val="32"/>
          <w:szCs w:val="32"/>
          <w14:textFill>
            <w14:solidFill>
              <w14:schemeClr w14:val="tx1"/>
            </w14:solidFill>
          </w14:textFill>
        </w:rPr>
        <w:t xml:space="preserve">  律师事务所制定律师服务费标准，应当综合考量以下因素：</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（一）律师服务费收费方式和收费项目；</w:t>
      </w:r>
    </w:p>
    <w:p>
      <w:pPr>
        <w:adjustRightInd w:val="0"/>
        <w:snapToGrid w:val="0"/>
        <w:spacing w:line="57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（二）法律服务事项的难易程度；</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（三）耗费的工作时间；</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（四）律师事务所及指派律师可能承担的风险和责任；</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（五）律师事务所及指派律师的社会信誉、工作水平和业务能力；</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（六）法律服务事项涉及标的财产金额大小及重要程度；</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（七）所在地社会经济发展状况和委托人的承受能力；</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（八）办理委托法律服务事项所需的其他必要成本；</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（九）与委托人之间已有的合作关系；</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（十）办理法律事务所需律师及辅助人员人数；</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（十一）其他影响律师服务费的合理因素。</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律师事务所为农民工、残疾人等弱势群体或者为公益活动提供法律服务的，可以酌情减免律师服务费。</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律师事务所承办法律援助案件，不得向受援人收费。</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第十四条</w:t>
      </w:r>
      <w:r>
        <w:rPr>
          <w:rFonts w:ascii="Times New Roman" w:hAnsi="Times New Roman" w:eastAsia="仿宋_GB2312"/>
          <w:color w:val="000000" w:themeColor="text1"/>
          <w:sz w:val="32"/>
          <w:szCs w:val="32"/>
          <w14:textFill>
            <w14:solidFill>
              <w14:schemeClr w14:val="tx1"/>
            </w14:solidFill>
          </w14:textFill>
        </w:rPr>
        <w:t xml:space="preserve">  制定民事诉讼仲裁类服务事项的律师服务费标准，不涉及财产关系的可设定为计时收费、计件收费；涉及财产关系的可设定为计时收费或者计件收费，</w:t>
      </w:r>
      <w:bookmarkStart w:id="0" w:name="_Hlk100870958"/>
      <w:r>
        <w:rPr>
          <w:rFonts w:ascii="Times New Roman" w:hAnsi="Times New Roman" w:eastAsia="仿宋_GB2312"/>
          <w:color w:val="000000" w:themeColor="text1"/>
          <w:sz w:val="32"/>
          <w:szCs w:val="32"/>
          <w14:textFill>
            <w14:solidFill>
              <w14:schemeClr w14:val="tx1"/>
            </w14:solidFill>
          </w14:textFill>
        </w:rPr>
        <w:t>也可以</w:t>
      </w:r>
      <w:bookmarkEnd w:id="0"/>
      <w:r>
        <w:rPr>
          <w:rFonts w:ascii="Times New Roman" w:hAnsi="Times New Roman" w:eastAsia="仿宋_GB2312"/>
          <w:color w:val="000000" w:themeColor="text1"/>
          <w:sz w:val="32"/>
          <w:szCs w:val="32"/>
          <w14:textFill>
            <w14:solidFill>
              <w14:schemeClr w14:val="tx1"/>
            </w14:solidFill>
          </w14:textFill>
        </w:rPr>
        <w:t>设定为按标的额比例收费；法律和政策规定禁止实行风险代理收费的情形之外的法律服务事项，可以设定为风险代理收费。。</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按标的额比例收费。按标的额比例收费可按照以下额度分段，并以对应比例累加计算律师服务费：10万元以下部分；10万元至50万元部分；50万元至100万元部分；100万元至500万元部分；500万元至1000万元部分；1000万元至2000万元部分；2000万元至5000万元部分；5000万元以上部分。各分段的具体区间及具体比例由律师事务所按照相关考虑因素合理设定。</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（二）风险代理收费。风险代理收费的标准，应当符合相关法律法规规章和《意见》等相关规定。</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律师服务费标准中应当明确规定：本所对接受委托的刑事诉讼案件、行政诉讼案件、国家赔偿案件、群体性诉讼案件、婚姻继承案件，以及请求给予社会保险待遇、最低生活保障待遇、赡养费、抚养费、扶养费、抚恤金、救济金、工伤赔偿、劳动报酬的案件，禁止实行或者变相实行风险代理收费。</w:t>
      </w:r>
    </w:p>
    <w:p>
      <w:pPr>
        <w:adjustRightInd w:val="0"/>
        <w:snapToGrid w:val="0"/>
        <w:spacing w:line="560" w:lineRule="exact"/>
        <w:ind w:firstLine="640" w:firstLineChars="200"/>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律师事务所和律师不得滥用专业优势地位，对律师事务所与当事人各自承担的风险责任作出明显不合理的约定，不得在风险代理收费合同中排除或者限制当事人上诉、撤诉、调解、和解等诉讼权利，或者对当事人行使上述权利设置惩罚性赔偿等不合理的条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按规定允许风险代理收费的，可以按照固定的金额收费，也可以按照委托人最终实现的债权或者减免的债务金额（以下简称“标的额”）的一定比例收费。</w:t>
      </w:r>
      <w:bookmarkStart w:id="1" w:name="_Hlk100871279"/>
      <w:r>
        <w:rPr>
          <w:rFonts w:ascii="Times New Roman" w:hAnsi="Times New Roman" w:eastAsia="仿宋_GB2312"/>
          <w:color w:val="000000" w:themeColor="text1"/>
          <w:sz w:val="32"/>
          <w:szCs w:val="32"/>
          <w14:textFill>
            <w14:solidFill>
              <w14:schemeClr w14:val="tx1"/>
            </w14:solidFill>
          </w14:textFill>
        </w:rPr>
        <w:t>律师事务所在风险代理的各个环节收取的律师服务费合计最高金额</w:t>
      </w:r>
      <w:bookmarkEnd w:id="1"/>
      <w:r>
        <w:rPr>
          <w:rFonts w:ascii="Times New Roman" w:hAnsi="Times New Roman" w:eastAsia="仿宋_GB2312"/>
          <w:color w:val="000000" w:themeColor="text1"/>
          <w:sz w:val="32"/>
          <w:szCs w:val="32"/>
          <w14:textFill>
            <w14:solidFill>
              <w14:schemeClr w14:val="tx1"/>
            </w14:solidFill>
          </w14:textFill>
        </w:rPr>
        <w:t>应当符合下列要求：标的额不足人民币100万元的部分，不得超过标的额的18%；标的额在人民币100万元以上不足500万元的部分，不得超过标的额的15%；标的额在人民币500万元以上不足1000万元的部分，不得超过标的额的12%；标的额在人民币1000万元以上不足5000万元的部分，不得超过标的额的9%；标的额在人民币5000万元以上的部分，不得超过标的额的6%。</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第十五条</w:t>
      </w:r>
      <w:r>
        <w:rPr>
          <w:rFonts w:ascii="Times New Roman" w:hAnsi="Times New Roman" w:eastAsia="仿宋_GB2312"/>
          <w:color w:val="000000" w:themeColor="text1"/>
          <w:sz w:val="32"/>
          <w:szCs w:val="32"/>
          <w14:textFill>
            <w14:solidFill>
              <w14:schemeClr w14:val="tx1"/>
            </w14:solidFill>
          </w14:textFill>
        </w:rPr>
        <w:t xml:space="preserve">  制定行政诉讼、申请国家赔偿类服务事项的律师服务费标准，可以参照民事诉讼仲裁类服务事项标准制定，禁止实行或者变相实行风险代理收费。行政复议、行政听证或者其他行政处理类服务事项可以参照行政诉讼类服务事项一审的收费标准。</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第十六条</w:t>
      </w:r>
      <w:r>
        <w:rPr>
          <w:rFonts w:ascii="Times New Roman" w:hAnsi="Times New Roman" w:eastAsia="仿宋_GB2312"/>
          <w:color w:val="000000" w:themeColor="text1"/>
          <w:sz w:val="32"/>
          <w:szCs w:val="32"/>
          <w14:textFill>
            <w14:solidFill>
              <w14:schemeClr w14:val="tx1"/>
            </w14:solidFill>
          </w14:textFill>
        </w:rPr>
        <w:t xml:space="preserve">  制定刑事诉讼类服务事项的律师服务费标准，可设定为计时收费或者计件收费，有涉及财产关系的可设定按标的额比例收费，按标的额比例收费，可以参照民事诉讼仲裁类服务事项标准制定，禁止实行或者变相实行风险代理收费。</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第十七条</w:t>
      </w:r>
      <w:r>
        <w:rPr>
          <w:rFonts w:ascii="Times New Roman" w:hAnsi="Times New Roman" w:eastAsia="仿宋_GB2312"/>
          <w:color w:val="000000" w:themeColor="text1"/>
          <w:sz w:val="32"/>
          <w:szCs w:val="32"/>
          <w14:textFill>
            <w14:solidFill>
              <w14:schemeClr w14:val="tx1"/>
            </w14:solidFill>
          </w14:textFill>
        </w:rPr>
        <w:t xml:space="preserve">  制定非诉讼仲裁类法律服务事项的律师服务费标准，可根据不同法律服务事项科学设定收费项目及其明细。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担任破产管理人的案件的收费标准，应当符合《最高人民法院关于审理企业破产案件确定管理人报酬的规定》及各地人民法院的相关规定。</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第十八条</w:t>
      </w:r>
      <w:r>
        <w:rPr>
          <w:rFonts w:ascii="Times New Roman" w:hAnsi="Times New Roman" w:eastAsia="仿宋_GB2312"/>
          <w:color w:val="000000" w:themeColor="text1"/>
          <w:sz w:val="32"/>
          <w:szCs w:val="32"/>
          <w14:textFill>
            <w14:solidFill>
              <w14:schemeClr w14:val="tx1"/>
            </w14:solidFill>
          </w14:textFill>
        </w:rPr>
        <w:t xml:space="preserve">  重大、疑难、复杂的法律服务可在前述非风险代理收费标准基础上适当上浮，包括以下情形：</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（一）由中级以上（含中级）人民法院管辖的第一审诉讼案件、委托抗诉类案件、审判监督案件； </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（二）符合法院、检察院、公安、司法行政等机关重大、疑难、复杂案件标准的案件；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（三）引起社会普遍关注、具有较大社会影响的案件；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（四）新类型案件或者项目；</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（五）案件涉及疑难专业问题，对律师专业水平要求明显高于同类案件，或者办案机关决定需要其他专业人士参与的案件；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（六）案情复杂且涉及三个或者三个以上法律关系的案件；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（七）工作量明显较大的案件；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（八）执行程序中当事人、利害关系人、案外人提出异议的案件；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（九）其他由律师事务所与委托人协商确定为重大、疑难、复杂的案件。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作为一般法律服务事项接受委托，开展具体服务工作后发现属于重大、疑难、复杂法律服务事项的，可以在办理过程中及时与委托人协商，经委托人同意后按重大、疑难、复杂法律服务事项收费，变更收费条款。</w:t>
      </w:r>
    </w:p>
    <w:p>
      <w:pPr>
        <w:adjustRightInd w:val="0"/>
        <w:snapToGrid w:val="0"/>
        <w:spacing w:beforeLines="50" w:afterLines="50"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第五章</w:t>
      </w:r>
      <w:r>
        <w:rPr>
          <w:rFonts w:ascii="Times New Roman" w:hAnsi="Times New Roman" w:eastAsia="黑体"/>
          <w:color w:val="000000" w:themeColor="text1"/>
          <w:sz w:val="32"/>
          <w:szCs w:val="32"/>
          <w14:textFill>
            <w14:solidFill>
              <w14:schemeClr w14:val="tx1"/>
            </w14:solidFill>
          </w14:textFill>
        </w:rPr>
        <w:t xml:space="preserve">  </w:t>
      </w:r>
      <w:r>
        <w:rPr>
          <w:rFonts w:ascii="Times New Roman" w:hAnsi="黑体" w:eastAsia="黑体"/>
          <w:color w:val="000000" w:themeColor="text1"/>
          <w:sz w:val="32"/>
          <w:szCs w:val="32"/>
          <w14:textFill>
            <w14:solidFill>
              <w14:schemeClr w14:val="tx1"/>
            </w14:solidFill>
          </w14:textFill>
        </w:rPr>
        <w:t>制定程序</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第十九条</w:t>
      </w:r>
      <w:r>
        <w:rPr>
          <w:rFonts w:ascii="Times New Roman" w:hAnsi="Times New Roman" w:eastAsia="仿宋_GB2312"/>
          <w:color w:val="000000" w:themeColor="text1"/>
          <w:sz w:val="32"/>
          <w:szCs w:val="32"/>
          <w14:textFill>
            <w14:solidFill>
              <w14:schemeClr w14:val="tx1"/>
            </w14:solidFill>
          </w14:textFill>
        </w:rPr>
        <w:t xml:space="preserve">  律师事务所制定律师服务费标准，应当面向本所全体律师征求意见，报备律师协会前应当在本所内以显著方式公示不少于7个工作日。</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第二十条</w:t>
      </w:r>
      <w:r>
        <w:rPr>
          <w:rFonts w:ascii="Times New Roman" w:hAnsi="Times New Roman" w:eastAsia="仿宋_GB2312"/>
          <w:color w:val="000000" w:themeColor="text1"/>
          <w:sz w:val="32"/>
          <w:szCs w:val="32"/>
          <w14:textFill>
            <w14:solidFill>
              <w14:schemeClr w14:val="tx1"/>
            </w14:solidFill>
          </w14:textFill>
        </w:rPr>
        <w:t xml:space="preserve">  律师事务所应当将本所制定的律师服务费标准向所在市律师协会备案。</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第二十一条</w:t>
      </w:r>
      <w:r>
        <w:rPr>
          <w:rFonts w:ascii="Times New Roman" w:hAnsi="Times New Roman" w:eastAsia="仿宋_GB2312"/>
          <w:color w:val="000000" w:themeColor="text1"/>
          <w:sz w:val="32"/>
          <w:szCs w:val="32"/>
          <w14:textFill>
            <w14:solidFill>
              <w14:schemeClr w14:val="tx1"/>
            </w14:solidFill>
          </w14:textFill>
        </w:rPr>
        <w:t xml:space="preserve">  律师事务所对制定的律师服务费标准应当按照示范文本标注备案年份。</w:t>
      </w:r>
      <w:bookmarkStart w:id="2" w:name="_Hlk97269345"/>
      <w:r>
        <w:rPr>
          <w:rFonts w:ascii="Times New Roman" w:hAnsi="Times New Roman" w:eastAsia="仿宋_GB2312"/>
          <w:color w:val="000000" w:themeColor="text1"/>
          <w:sz w:val="32"/>
          <w:szCs w:val="32"/>
          <w14:textFill>
            <w14:solidFill>
              <w14:schemeClr w14:val="tx1"/>
            </w14:solidFill>
          </w14:textFill>
        </w:rPr>
        <w:t>备案</w:t>
      </w:r>
      <w:bookmarkEnd w:id="2"/>
      <w:r>
        <w:rPr>
          <w:rFonts w:ascii="Times New Roman" w:hAnsi="Times New Roman" w:eastAsia="仿宋_GB2312"/>
          <w:color w:val="000000" w:themeColor="text1"/>
          <w:sz w:val="32"/>
          <w:szCs w:val="32"/>
          <w14:textFill>
            <w14:solidFill>
              <w14:schemeClr w14:val="tx1"/>
            </w14:solidFill>
          </w14:textFill>
        </w:rPr>
        <w:t>后，除发生律师事务所合并、分立或者其他司法行政部门规定的正当事由外，一年内原则上不得变更。司法行政部门依法责令变更的不受时间限制。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新设律师事务所应当在取得执业许可证书之日起15个工作日内向所在市律师协会备案本所律师服务费标准。</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第二十二条</w:t>
      </w:r>
      <w:r>
        <w:rPr>
          <w:rFonts w:ascii="Times New Roman" w:hAnsi="Times New Roman" w:eastAsia="仿宋_GB2312"/>
          <w:color w:val="000000" w:themeColor="text1"/>
          <w:sz w:val="32"/>
          <w:szCs w:val="32"/>
          <w14:textFill>
            <w14:solidFill>
              <w14:schemeClr w14:val="tx1"/>
            </w14:solidFill>
          </w14:textFill>
        </w:rPr>
        <w:t xml:space="preserve">  律师事务所应当严格执行明码标价制度，在本所显著位置公开本所律师服务费标准，自觉接受相关主管部门、行业协会和社会监督。</w:t>
      </w:r>
    </w:p>
    <w:p>
      <w:pPr>
        <w:adjustRightInd w:val="0"/>
        <w:snapToGrid w:val="0"/>
        <w:spacing w:line="560" w:lineRule="exact"/>
        <w:ind w:firstLine="643" w:firstLineChars="200"/>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b/>
          <w:bCs/>
          <w:color w:val="000000" w:themeColor="text1"/>
          <w:sz w:val="32"/>
          <w:szCs w:val="32"/>
          <w:lang w:val="en-US" w:eastAsia="zh-CN"/>
          <w14:textFill>
            <w14:solidFill>
              <w14:schemeClr w14:val="tx1"/>
            </w14:solidFill>
          </w14:textFill>
        </w:rPr>
        <w:t xml:space="preserve">第二十三条 </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律师事务所及律师不得在协商收费时向当事人明示或者暗示与司法行政机关、仲裁机构及其工作人员有特殊关系，不得以签订“阴阳合同”等方式规避律师服务收费限制性规定。</w:t>
      </w:r>
    </w:p>
    <w:p>
      <w:pPr>
        <w:adjustRightInd w:val="0"/>
        <w:snapToGrid w:val="0"/>
        <w:spacing w:line="560" w:lineRule="exact"/>
        <w:ind w:firstLine="640" w:firstLineChars="200"/>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律师事务所不得作出违背社会公序良俗或者显失公平的约定。不得采取欺骗、诱导等方式促使当事人接受律师服务费。</w:t>
      </w:r>
    </w:p>
    <w:p>
      <w:pPr>
        <w:adjustRightInd w:val="0"/>
        <w:snapToGrid w:val="0"/>
        <w:spacing w:beforeLines="50" w:afterLines="50" w:line="560" w:lineRule="exact"/>
        <w:jc w:val="center"/>
        <w:rPr>
          <w:rFonts w:ascii="Times New Roman" w:hAnsi="Times New Roman"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第六章</w:t>
      </w:r>
      <w:r>
        <w:rPr>
          <w:rFonts w:ascii="Times New Roman" w:hAnsi="Times New Roman" w:eastAsia="黑体"/>
          <w:color w:val="000000" w:themeColor="text1"/>
          <w:sz w:val="32"/>
          <w:szCs w:val="32"/>
          <w14:textFill>
            <w14:solidFill>
              <w14:schemeClr w14:val="tx1"/>
            </w14:solidFill>
          </w14:textFill>
        </w:rPr>
        <w:t xml:space="preserve">  </w:t>
      </w:r>
      <w:r>
        <w:rPr>
          <w:rFonts w:ascii="Times New Roman" w:hAnsi="黑体" w:eastAsia="黑体"/>
          <w:color w:val="000000" w:themeColor="text1"/>
          <w:sz w:val="32"/>
          <w:szCs w:val="32"/>
          <w14:textFill>
            <w14:solidFill>
              <w14:schemeClr w14:val="tx1"/>
            </w14:solidFill>
          </w14:textFill>
        </w:rPr>
        <w:t>附则</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w:t>
      </w:r>
      <w:r>
        <w:rPr>
          <w:rFonts w:hint="eastAsia" w:ascii="Times New Roman" w:hAnsi="Times New Roman" w:eastAsia="仿宋_GB2312"/>
          <w:b/>
          <w:color w:val="000000" w:themeColor="text1"/>
          <w:sz w:val="32"/>
          <w:szCs w:val="32"/>
          <w:lang w:val="en-US" w:eastAsia="zh-CN"/>
          <w14:textFill>
            <w14:solidFill>
              <w14:schemeClr w14:val="tx1"/>
            </w14:solidFill>
          </w14:textFill>
        </w:rPr>
        <w:t>四</w:t>
      </w:r>
      <w:r>
        <w:rPr>
          <w:rFonts w:ascii="Times New Roman" w:hAnsi="Times New Roman" w:eastAsia="仿宋_GB2312"/>
          <w:b/>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xml:space="preserve">  本指引由克拉玛依市律师协会会长办公会负责解释。</w:t>
      </w:r>
    </w:p>
    <w:p>
      <w:pPr>
        <w:adjustRightInd w:val="0"/>
        <w:snapToGrid w:val="0"/>
        <w:spacing w:line="56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第二十</w:t>
      </w:r>
      <w:r>
        <w:rPr>
          <w:rFonts w:hint="eastAsia" w:ascii="Times New Roman" w:hAnsi="Times New Roman" w:eastAsia="仿宋_GB2312"/>
          <w:b/>
          <w:color w:val="000000" w:themeColor="text1"/>
          <w:sz w:val="32"/>
          <w:szCs w:val="32"/>
          <w:lang w:val="en-US" w:eastAsia="zh-CN"/>
          <w14:textFill>
            <w14:solidFill>
              <w14:schemeClr w14:val="tx1"/>
            </w14:solidFill>
          </w14:textFill>
        </w:rPr>
        <w:t>五</w:t>
      </w:r>
      <w:r>
        <w:rPr>
          <w:rFonts w:ascii="Times New Roman" w:hAnsi="Times New Roman" w:eastAsia="仿宋_GB2312"/>
          <w:b/>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xml:space="preserve">  本指引自克拉玛依市律师协会理事会通过之日起试行，试行期三年。</w:t>
      </w:r>
    </w:p>
    <w:p>
      <w:pPr>
        <w:widowControl/>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adjustRightInd w:val="0"/>
        <w:snapToGrid w:val="0"/>
        <w:spacing w:line="56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附件2</w:t>
      </w:r>
    </w:p>
    <w:p>
      <w:pPr>
        <w:pStyle w:val="2"/>
        <w:adjustRightInd w:val="0"/>
        <w:snapToGrid w:val="0"/>
        <w:spacing w:after="0" w:line="560" w:lineRule="exact"/>
        <w:jc w:val="center"/>
        <w:rPr>
          <w:rFonts w:ascii="Times New Roman" w:hAnsi="Times New Roman" w:eastAsia="黑体"/>
          <w:color w:val="000000" w:themeColor="text1"/>
          <w:sz w:val="40"/>
          <w:szCs w:val="40"/>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 xml:space="preserve">                                备案号</w:t>
      </w:r>
      <w:r>
        <w:rPr>
          <w:rFonts w:ascii="Times New Roman" w:hAnsi="Times New Roman" w:eastAsia="黑体"/>
          <w:color w:val="000000" w:themeColor="text1"/>
          <w:sz w:val="28"/>
          <w:szCs w:val="28"/>
          <w14:textFill>
            <w14:solidFill>
              <w14:schemeClr w14:val="tx1"/>
            </w14:solidFill>
          </w14:textFill>
        </w:rPr>
        <w:t>:No.</w:t>
      </w:r>
      <w:r>
        <w:rPr>
          <w:rFonts w:ascii="Times New Roman" w:hAnsi="Times New Roman" w:eastAsia="黑体"/>
          <w:color w:val="000000" w:themeColor="text1"/>
          <w:sz w:val="28"/>
          <w:szCs w:val="28"/>
          <w:u w:val="single"/>
          <w14:textFill>
            <w14:solidFill>
              <w14:schemeClr w14:val="tx1"/>
            </w14:solidFill>
          </w14:textFill>
        </w:rPr>
        <w:t xml:space="preserve">            </w:t>
      </w:r>
      <w:r>
        <w:rPr>
          <w:rFonts w:ascii="Times New Roman" w:hAnsi="Times New Roman" w:eastAsia="黑体"/>
          <w:color w:val="000000" w:themeColor="text1"/>
          <w:sz w:val="28"/>
          <w:szCs w:val="28"/>
          <w14:textFill>
            <w14:solidFill>
              <w14:schemeClr w14:val="tx1"/>
            </w14:solidFill>
          </w14:textFill>
        </w:rPr>
        <w:t xml:space="preserve"> </w:t>
      </w:r>
    </w:p>
    <w:p>
      <w:pPr>
        <w:pStyle w:val="21"/>
        <w:widowControl w:val="0"/>
        <w:wordWrap/>
        <w:adjustRightInd w:val="0"/>
        <w:snapToGrid w:val="0"/>
        <w:spacing w:line="560" w:lineRule="exact"/>
        <w:rPr>
          <w:color w:val="000000" w:themeColor="text1"/>
          <w14:textFill>
            <w14:solidFill>
              <w14:schemeClr w14:val="tx1"/>
            </w14:solidFill>
          </w14:textFill>
        </w:rPr>
      </w:pPr>
    </w:p>
    <w:p>
      <w:pPr>
        <w:pStyle w:val="2"/>
        <w:adjustRightInd w:val="0"/>
        <w:snapToGrid w:val="0"/>
        <w:spacing w:after="0" w:line="560" w:lineRule="exact"/>
        <w:jc w:val="center"/>
        <w:rPr>
          <w:rFonts w:hint="eastAsia" w:ascii="Times New Roman" w:hAnsi="Times New Roman" w:eastAsia="方正小标宋简体"/>
          <w:color w:val="000000" w:themeColor="text1"/>
          <w:sz w:val="44"/>
          <w:szCs w:val="40"/>
          <w14:textFill>
            <w14:solidFill>
              <w14:schemeClr w14:val="tx1"/>
            </w14:solidFill>
          </w14:textFill>
        </w:rPr>
      </w:pPr>
      <w:r>
        <w:rPr>
          <w:rFonts w:ascii="Times New Roman" w:hAnsi="Times New Roman" w:eastAsia="方正小标宋简体"/>
          <w:color w:val="000000" w:themeColor="text1"/>
          <w:sz w:val="44"/>
          <w:szCs w:val="40"/>
          <w:u w:val="single"/>
          <w14:textFill>
            <w14:solidFill>
              <w14:schemeClr w14:val="tx1"/>
            </w14:solidFill>
          </w14:textFill>
        </w:rPr>
        <w:t xml:space="preserve">        </w:t>
      </w:r>
      <w:r>
        <w:rPr>
          <w:rFonts w:ascii="Times New Roman" w:hAnsi="Times New Roman" w:eastAsia="方正小标宋简体"/>
          <w:color w:val="000000" w:themeColor="text1"/>
          <w:sz w:val="44"/>
          <w:szCs w:val="40"/>
          <w14:textFill>
            <w14:solidFill>
              <w14:schemeClr w14:val="tx1"/>
            </w14:solidFill>
          </w14:textFill>
        </w:rPr>
        <w:t>律师事务所律师服务费标准</w:t>
      </w:r>
    </w:p>
    <w:p>
      <w:pPr>
        <w:adjustRightInd w:val="0"/>
        <w:snapToGrid w:val="0"/>
        <w:spacing w:line="560" w:lineRule="exact"/>
        <w:jc w:val="center"/>
        <w:rPr>
          <w:rFonts w:hint="eastAsia"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（示范文本）</w:t>
      </w:r>
    </w:p>
    <w:p>
      <w:pPr>
        <w:adjustRightInd w:val="0"/>
        <w:snapToGrid w:val="0"/>
        <w:spacing w:line="560" w:lineRule="exact"/>
        <w:jc w:val="center"/>
        <w:rPr>
          <w:rFonts w:ascii="Times New Roman" w:hAnsi="Times New Roman" w:eastAsia="仿宋_GB2312"/>
          <w:color w:val="000000" w:themeColor="text1"/>
          <w:sz w:val="32"/>
          <w:szCs w:val="30"/>
          <w14:textFill>
            <w14:solidFill>
              <w14:schemeClr w14:val="tx1"/>
            </w14:solidFill>
          </w14:textFill>
        </w:rPr>
      </w:pPr>
      <w:r>
        <w:rPr>
          <w:rFonts w:ascii="Times New Roman" w:hAnsi="Times New Roman" w:eastAsia="仿宋_GB2312"/>
          <w:color w:val="000000" w:themeColor="text1"/>
          <w:sz w:val="32"/>
          <w:szCs w:val="30"/>
          <w14:textFill>
            <w14:solidFill>
              <w14:schemeClr w14:val="tx1"/>
            </w14:solidFill>
          </w14:textFill>
        </w:rPr>
        <w:t>（征求意见稿）</w:t>
      </w:r>
    </w:p>
    <w:p>
      <w:pPr>
        <w:adjustRightInd w:val="0"/>
        <w:snapToGrid w:val="0"/>
        <w:spacing w:line="560" w:lineRule="exact"/>
        <w:jc w:val="center"/>
        <w:rPr>
          <w:rFonts w:ascii="Times New Roman" w:hAnsi="Times New Roman" w:eastAsia="楷体_GB2312"/>
          <w:color w:val="000000" w:themeColor="text1"/>
          <w:sz w:val="32"/>
          <w:szCs w:val="32"/>
          <w14:textFill>
            <w14:solidFill>
              <w14:schemeClr w14:val="tx1"/>
            </w14:solidFill>
          </w14:textFill>
        </w:rPr>
      </w:pP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根据《司法部 国家发展和改革委员会 国家市场监督管理总局印发〈关于进一步规范律师服务收费的意见〉的通知》（司发通〔2021〕87号）和《克拉玛依市律师事务所律师服务费标准制定指引（试行）》，结合本所实际，制定本所律师服务费标准，并于</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hint="eastAsia"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hint="eastAsia"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日在</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市律师协会备案。</w:t>
      </w:r>
    </w:p>
    <w:p>
      <w:pPr>
        <w:adjustRightInd w:val="0"/>
        <w:snapToGrid w:val="0"/>
        <w:spacing w:beforeLines="50" w:afterLines="50" w:line="560" w:lineRule="exact"/>
        <w:jc w:val="center"/>
        <w:rPr>
          <w:rFonts w:ascii="Times New Roman" w:hAnsi="黑体" w:eastAsia="黑体"/>
          <w:color w:val="000000" w:themeColor="text1"/>
          <w:sz w:val="32"/>
          <w:szCs w:val="32"/>
          <w14:textFill>
            <w14:solidFill>
              <w14:schemeClr w14:val="tx1"/>
            </w14:solidFill>
          </w14:textFill>
        </w:rPr>
      </w:pPr>
      <w:bookmarkStart w:id="3" w:name="_Hlk97266138"/>
      <w:r>
        <w:rPr>
          <w:rFonts w:ascii="Times New Roman" w:hAnsi="黑体" w:eastAsia="黑体"/>
          <w:color w:val="000000" w:themeColor="text1"/>
          <w:sz w:val="32"/>
          <w:szCs w:val="32"/>
          <w14:textFill>
            <w14:solidFill>
              <w14:schemeClr w14:val="tx1"/>
            </w14:solidFill>
          </w14:textFill>
        </w:rPr>
        <w:t>第一部分  计时收费标准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一、本所各类法律服务事项均可约定计时收费方式。</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（律师事务所也可以对本所计时收费的服务事项进行限定）</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二、本所计时收费的单位时间为</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分钟，设定</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档，</w:t>
      </w:r>
      <w:bookmarkStart w:id="4" w:name="_Hlk97269121"/>
      <w:r>
        <w:rPr>
          <w:rFonts w:ascii="Times New Roman" w:hAnsi="Times New Roman" w:eastAsia="仿宋_GB2312"/>
          <w:color w:val="000000" w:themeColor="text1"/>
          <w:sz w:val="32"/>
          <w:szCs w:val="32"/>
          <w14:textFill>
            <w14:solidFill>
              <w14:schemeClr w14:val="tx1"/>
            </w14:solidFill>
          </w14:textFill>
        </w:rPr>
        <w:t>各档</w:t>
      </w:r>
      <w:bookmarkEnd w:id="4"/>
      <w:r>
        <w:rPr>
          <w:rFonts w:ascii="Times New Roman" w:hAnsi="Times New Roman" w:eastAsia="仿宋_GB2312"/>
          <w:color w:val="000000" w:themeColor="text1"/>
          <w:sz w:val="32"/>
          <w:szCs w:val="32"/>
          <w14:textFill>
            <w14:solidFill>
              <w14:schemeClr w14:val="tx1"/>
            </w14:solidFill>
          </w14:textFill>
        </w:rPr>
        <w:t>单位时间的计费标准分别为：</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bookmarkStart w:id="5" w:name="_Hlk97266468"/>
      <w:r>
        <w:rPr>
          <w:rFonts w:ascii="Times New Roman" w:hAnsi="Times New Roman" w:eastAsia="仿宋_GB2312"/>
          <w:color w:val="000000" w:themeColor="text1"/>
          <w:sz w:val="32"/>
          <w:szCs w:val="32"/>
          <w14:textFill>
            <w14:solidFill>
              <w14:schemeClr w14:val="tx1"/>
            </w14:solidFill>
          </w14:textFill>
        </w:rPr>
        <w:t xml:space="preserve">第一档 </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w:t>
      </w:r>
    </w:p>
    <w:bookmarkEnd w:id="5"/>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第二档 </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w:t>
      </w:r>
    </w:p>
    <w:p>
      <w:pPr>
        <w:pStyle w:val="2"/>
        <w:adjustRightInd w:val="0"/>
        <w:snapToGrid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第</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 xml:space="preserve">档 </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w:t>
      </w:r>
    </w:p>
    <w:p>
      <w:pPr>
        <w:pStyle w:val="2"/>
        <w:adjustRightInd w:val="0"/>
        <w:snapToGrid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计时收费的工作时长以律师办理委托法律事项过程中了解案情、调查取证、查阅案卷、起草诉讼文书和法律文件、会见被限制人身自由的人员、出庭、参与调解和谈判、商议工作方案、代办各类手续等必要时间，以及委托人认可的其他必要时间为准，节假日可依约定调整。承办律师为两人以上的可分别计算，也可合并计算。</w:t>
      </w: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四、承办律师应当向委托人出具服务内容和时长清单及其必要说明。</w:t>
      </w:r>
    </w:p>
    <w:p>
      <w:pPr>
        <w:adjustRightInd w:val="0"/>
        <w:snapToGrid w:val="0"/>
        <w:spacing w:beforeLines="50" w:afterLines="50" w:line="560" w:lineRule="exact"/>
        <w:jc w:val="center"/>
        <w:rPr>
          <w:rFonts w:ascii="Times New Roman" w:hAnsi="黑体"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第二部分  计件收费和按标的额比例收费标准</w:t>
      </w:r>
    </w:p>
    <w:bookmarkEnd w:id="3"/>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五、本所提供以下诉讼仲裁类法律服务事项，可按不同服务内容选择适用计件收费或者按标的额比例收费，计费标准分别为：</w:t>
      </w: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（一）代理民事诉讼、行政诉讼一审案件、仲裁案件，不涉及财产关系的，每件收费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元；涉及财产关系的，可以按每件收费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元，也可以按争议财产标的分段并以一定比例计算或者按基础服务费加收一定比例计算，其中基础服务费为</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w:t>
      </w: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10万元以下部分，收取</w:t>
      </w:r>
      <w:bookmarkStart w:id="6" w:name="_Hlk101647250"/>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bookmarkEnd w:id="6"/>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10万元至50万元部分，收取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50万元至100万元部分，收取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100万元至500万元部分，收取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500万元至1000万元部分，收取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1000万元至2000万元部分，收取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2000万元至5000万元部分，收取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5000万元以上部分，收取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pStyle w:val="2"/>
        <w:adjustRightInd w:val="0"/>
        <w:snapToGrid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（各分段的具体区间及具体比例由律师事务所按照相关考虑因素合理设定）</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委托人提出反诉、仲裁反请求或者对方当事人提出反诉、仲裁反请求的，反诉、仲裁反请求按另一案件处理，可以参照上述收费标准。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代理特别程序、督促程序、公示催告程序案件，参照上述收费标准。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代理行政复议、行政听证或者其他行政处理案件参照行政诉讼案件一审收费标准。代理申请国家赔偿案件参照涉及财产关系的民事诉讼案件一审收费标准。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代理民事诉讼、行政诉讼案件的二审案件、审判监督程序、发回重审、执行程序的案件，参照一审收费标准。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劳动争议仲裁案件参照民事诉讼案件标准收费。商事仲裁案件参照民事诉讼案件标准或者上浮</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%以内收费。申请执行仲裁裁决案件、申请撤销仲裁裁决案件、申请不予执行仲裁裁决案件，参照民事诉讼执行程序收费标准或者上浮</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%以内收费。</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（二）办理刑事诉讼案件，按以下标准分别收费：</w:t>
      </w:r>
    </w:p>
    <w:p>
      <w:pPr>
        <w:pStyle w:val="21"/>
        <w:widowControl w:val="0"/>
        <w:wordWrap/>
        <w:adjustRightInd w:val="0"/>
        <w:snapToGrid w:val="0"/>
        <w:spacing w:line="560" w:lineRule="exact"/>
        <w:ind w:firstLine="640" w:firstLineChars="200"/>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1.刑事侦查阶段</w:t>
      </w:r>
      <w:bookmarkStart w:id="7" w:name="_Hlk97288814"/>
      <w:r>
        <w:rPr>
          <w:rFonts w:eastAsia="仿宋_GB2312"/>
          <w:color w:val="000000" w:themeColor="text1"/>
          <w:kern w:val="2"/>
          <w:sz w:val="32"/>
          <w:szCs w:val="32"/>
          <w14:textFill>
            <w14:solidFill>
              <w14:schemeClr w14:val="tx1"/>
            </w14:solidFill>
          </w14:textFill>
        </w:rPr>
        <w:t>，</w:t>
      </w:r>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元至</w:t>
      </w:r>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元/件。</w:t>
      </w:r>
      <w:bookmarkEnd w:id="7"/>
    </w:p>
    <w:p>
      <w:pPr>
        <w:pStyle w:val="21"/>
        <w:widowControl w:val="0"/>
        <w:wordWrap/>
        <w:adjustRightInd w:val="0"/>
        <w:snapToGrid w:val="0"/>
        <w:spacing w:line="560" w:lineRule="exact"/>
        <w:ind w:firstLine="640" w:firstLineChars="200"/>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2.审查起诉阶段，</w:t>
      </w:r>
      <w:bookmarkStart w:id="8" w:name="_Hlk97292622"/>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元至</w:t>
      </w:r>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元/件</w:t>
      </w:r>
      <w:bookmarkEnd w:id="8"/>
      <w:r>
        <w:rPr>
          <w:rFonts w:eastAsia="仿宋_GB2312"/>
          <w:color w:val="000000" w:themeColor="text1"/>
          <w:kern w:val="2"/>
          <w:sz w:val="32"/>
          <w:szCs w:val="32"/>
          <w14:textFill>
            <w14:solidFill>
              <w14:schemeClr w14:val="tx1"/>
            </w14:solidFill>
          </w14:textFill>
        </w:rPr>
        <w:t>。</w:t>
      </w:r>
    </w:p>
    <w:p>
      <w:pPr>
        <w:pStyle w:val="21"/>
        <w:widowControl w:val="0"/>
        <w:wordWrap/>
        <w:adjustRightInd w:val="0"/>
        <w:snapToGrid w:val="0"/>
        <w:spacing w:line="560" w:lineRule="exact"/>
        <w:ind w:firstLine="640" w:firstLineChars="200"/>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3.一审阶段，</w:t>
      </w:r>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元至</w:t>
      </w:r>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元/件。</w:t>
      </w:r>
    </w:p>
    <w:p>
      <w:pPr>
        <w:pStyle w:val="21"/>
        <w:widowControl w:val="0"/>
        <w:wordWrap/>
        <w:adjustRightInd w:val="0"/>
        <w:snapToGrid w:val="0"/>
        <w:spacing w:line="560" w:lineRule="exact"/>
        <w:ind w:firstLine="640" w:firstLineChars="200"/>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4.审判监督程序，</w:t>
      </w:r>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元至</w:t>
      </w:r>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元/件。</w:t>
      </w:r>
    </w:p>
    <w:p>
      <w:pPr>
        <w:pStyle w:val="21"/>
        <w:widowControl w:val="0"/>
        <w:wordWrap/>
        <w:adjustRightInd w:val="0"/>
        <w:snapToGrid w:val="0"/>
        <w:spacing w:line="560" w:lineRule="exact"/>
        <w:ind w:firstLine="640" w:firstLineChars="200"/>
        <w:rPr>
          <w:rFonts w:eastAsia="仿宋_GB2312"/>
          <w:color w:val="000000" w:themeColor="text1"/>
          <w:kern w:val="2"/>
          <w:sz w:val="32"/>
          <w:szCs w:val="32"/>
          <w14:textFill>
            <w14:solidFill>
              <w14:schemeClr w14:val="tx1"/>
            </w14:solidFill>
          </w14:textFill>
        </w:rPr>
      </w:pPr>
      <w:r>
        <w:rPr>
          <w:rFonts w:eastAsia="仿宋_GB2312"/>
          <w:color w:val="000000" w:themeColor="text1"/>
          <w:kern w:val="2"/>
          <w:sz w:val="32"/>
          <w:szCs w:val="32"/>
          <w14:textFill>
            <w14:solidFill>
              <w14:schemeClr w14:val="tx1"/>
            </w14:solidFill>
          </w14:textFill>
        </w:rPr>
        <w:t>5.死刑复核阶段，</w:t>
      </w:r>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元至</w:t>
      </w:r>
      <w:r>
        <w:rPr>
          <w:rFonts w:eastAsia="仿宋_GB2312"/>
          <w:color w:val="000000" w:themeColor="text1"/>
          <w:kern w:val="2"/>
          <w:sz w:val="32"/>
          <w:szCs w:val="32"/>
          <w:u w:val="single"/>
          <w14:textFill>
            <w14:solidFill>
              <w14:schemeClr w14:val="tx1"/>
            </w14:solidFill>
          </w14:textFill>
        </w:rPr>
        <w:t xml:space="preserve">     </w:t>
      </w:r>
      <w:r>
        <w:rPr>
          <w:rFonts w:eastAsia="仿宋_GB2312"/>
          <w:color w:val="000000" w:themeColor="text1"/>
          <w:kern w:val="2"/>
          <w:sz w:val="32"/>
          <w:szCs w:val="32"/>
          <w14:textFill>
            <w14:solidFill>
              <w14:schemeClr w14:val="tx1"/>
            </w14:solidFill>
          </w14:textFill>
        </w:rPr>
        <w:t>元/件。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6.刑事判决生效后的减刑、假释、保外就医、社区监管、</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罚</w:t>
      </w:r>
      <w:r>
        <w:rPr>
          <w:rFonts w:ascii="Times New Roman" w:hAnsi="Times New Roman" w:eastAsia="仿宋_GB2312"/>
          <w:color w:val="000000" w:themeColor="text1"/>
          <w:spacing w:val="4"/>
          <w:sz w:val="32"/>
          <w:szCs w:val="32"/>
          <w14:textFill>
            <w14:solidFill>
              <w14:schemeClr w14:val="tx1"/>
            </w14:solidFill>
          </w14:textFill>
        </w:rPr>
        <w:t>金刑的执行、财产没收等诉讼活动，</w:t>
      </w:r>
      <w:r>
        <w:rPr>
          <w:rFonts w:ascii="Times New Roman" w:hAnsi="Times New Roman" w:eastAsia="仿宋_GB2312"/>
          <w:color w:val="000000" w:themeColor="text1"/>
          <w:spacing w:val="4"/>
          <w:sz w:val="32"/>
          <w:szCs w:val="32"/>
          <w:u w:val="single"/>
          <w14:textFill>
            <w14:solidFill>
              <w14:schemeClr w14:val="tx1"/>
            </w14:solidFill>
          </w14:textFill>
        </w:rPr>
        <w:t xml:space="preserve">      </w:t>
      </w:r>
      <w:r>
        <w:rPr>
          <w:rFonts w:ascii="Times New Roman" w:hAnsi="Times New Roman" w:eastAsia="仿宋_GB2312"/>
          <w:color w:val="000000" w:themeColor="text1"/>
          <w:spacing w:val="4"/>
          <w:sz w:val="32"/>
          <w:szCs w:val="32"/>
          <w14:textFill>
            <w14:solidFill>
              <w14:schemeClr w14:val="tx1"/>
            </w14:solidFill>
          </w14:textFill>
        </w:rPr>
        <w:t>元至</w:t>
      </w:r>
      <w:r>
        <w:rPr>
          <w:rFonts w:ascii="Times New Roman" w:hAnsi="Times New Roman" w:eastAsia="仿宋_GB2312"/>
          <w:color w:val="000000" w:themeColor="text1"/>
          <w:spacing w:val="4"/>
          <w:sz w:val="32"/>
          <w:szCs w:val="32"/>
          <w:u w:val="single"/>
          <w14:textFill>
            <w14:solidFill>
              <w14:schemeClr w14:val="tx1"/>
            </w14:solidFill>
          </w14:textFill>
        </w:rPr>
        <w:t xml:space="preserve">      </w:t>
      </w:r>
      <w:r>
        <w:rPr>
          <w:rFonts w:hint="eastAsia" w:ascii="Times New Roman" w:hAnsi="Times New Roman" w:eastAsia="仿宋_GB2312"/>
          <w:color w:val="000000" w:themeColor="text1"/>
          <w:spacing w:val="4"/>
          <w:sz w:val="32"/>
          <w:szCs w:val="32"/>
          <w:u w:val="single"/>
          <w14:textFill>
            <w14:solidFill>
              <w14:schemeClr w14:val="tx1"/>
            </w14:solidFill>
          </w14:textFill>
        </w:rPr>
        <w:br w:type="textWrapping"/>
      </w:r>
      <w:r>
        <w:rPr>
          <w:rFonts w:ascii="Times New Roman" w:hAnsi="Times New Roman" w:eastAsia="仿宋_GB2312"/>
          <w:color w:val="000000" w:themeColor="text1"/>
          <w:spacing w:val="4"/>
          <w:sz w:val="32"/>
          <w:szCs w:val="32"/>
          <w14:textFill>
            <w14:solidFill>
              <w14:schemeClr w14:val="tx1"/>
            </w14:solidFill>
          </w14:textFill>
        </w:rPr>
        <w:t>元/件。</w:t>
      </w:r>
    </w:p>
    <w:p>
      <w:pPr>
        <w:pStyle w:val="2"/>
        <w:adjustRightInd w:val="0"/>
        <w:snapToGrid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7.二审、审判监督程序、发回重审、执行程序的案件，参照一审收费标准。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8.代理刑事附带民事诉讼案件，刑事部分与民事部分按照上述相应标准分别计费，也可以在此基础上约定调节，</w:t>
      </w:r>
      <w:r>
        <w:rPr>
          <w:rFonts w:ascii="Times New Roman" w:hAnsi="Times New Roman" w:eastAsia="仿宋_GB2312"/>
          <w:color w:val="000000" w:themeColor="text1"/>
          <w:kern w:val="0"/>
          <w:sz w:val="32"/>
          <w:szCs w:val="32"/>
          <w14:textFill>
            <w14:solidFill>
              <w14:schemeClr w14:val="tx1"/>
            </w14:solidFill>
          </w14:textFill>
        </w:rPr>
        <w:t>禁止实行或者变相实行风险代理收费</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（三）其他诉讼法律服务事项的计件收费，律师事务所与委托人可根据最相近似原则参照本标准协商确定。</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九、本所提供非诉讼仲裁类法律服务事项收费标准分别如下：</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（一）非诉讼仲裁类法律服务事项涉及财产关系的，可以按委托事项涉及标的分段计费，各段计费标准为：</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100万元以下部分，收取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100万元至1000万元部分，收取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1000万元至5000万元部分，收取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5000万元至1亿元部分，收取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1亿元以上部分，收取</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（律师事务所可以对本所收费分段的区间酌情调整）</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（二）以下非诉讼仲裁类法律服务事项收费标准：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（1）担任常年法律顾问，</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元/年；</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（2）担任专项法律顾问（含专项法律顾问费），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（3）法律咨询服务费，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（4）法律论证服务费，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（5）法律培训服务费，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（6）律师见证服务费，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元/件；</w:t>
      </w:r>
    </w:p>
    <w:p>
      <w:pPr>
        <w:pStyle w:val="2"/>
        <w:adjustRightInd w:val="0"/>
        <w:snapToGrid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（7）出具律师函、法律意见书、法律咨询回函，以及开展资信调查、法律尽职调查等事项的服务费，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hint="eastAsia"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hint="eastAsia"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hint="eastAsia"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hint="eastAsia"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hint="eastAsia" w:ascii="Times New Roman" w:hAnsi="Times New Roman" w:eastAsia="仿宋_GB2312"/>
          <w:color w:val="000000" w:themeColor="text1"/>
          <w:sz w:val="32"/>
          <w:szCs w:val="32"/>
          <w:u w:val="single"/>
          <w14:textFill>
            <w14:solidFill>
              <w14:schemeClr w14:val="tx1"/>
            </w14:solidFill>
          </w14:textFill>
        </w:rPr>
        <w:br w:type="textWrapping"/>
      </w:r>
      <w:r>
        <w:rPr>
          <w:rFonts w:ascii="Times New Roman" w:hAnsi="Times New Roman" w:eastAsia="仿宋_GB2312"/>
          <w:color w:val="000000" w:themeColor="text1"/>
          <w:sz w:val="32"/>
          <w:szCs w:val="32"/>
          <w14:textFill>
            <w14:solidFill>
              <w14:schemeClr w14:val="tx1"/>
            </w14:solidFill>
          </w14:textFill>
        </w:rPr>
        <w:t>元/件；</w:t>
      </w:r>
    </w:p>
    <w:p>
      <w:pPr>
        <w:pStyle w:val="2"/>
        <w:adjustRightInd w:val="0"/>
        <w:snapToGrid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（8）起草、审查或者修改合同或者其他文件等事项的服务费，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（9）代书、代办公证，代为声明等事项的服务费，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（10）参与谈判事务的服务费，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元/件；</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（11）其他非诉讼仲裁类法律服务事项的服务费，</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元/件。</w:t>
      </w:r>
    </w:p>
    <w:p>
      <w:pPr>
        <w:pStyle w:val="2"/>
        <w:adjustRightInd w:val="0"/>
        <w:snapToGrid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（律师事务所也可以对不同的非诉讼法律服务事项分类分档罗列价目）</w:t>
      </w:r>
    </w:p>
    <w:p>
      <w:pPr>
        <w:pStyle w:val="2"/>
        <w:adjustRightInd w:val="0"/>
        <w:snapToGrid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担任人民法院指定破产管理人、强制清算管理人案件的收费标准，依照《最高人民法院关于审理企业破产案件确定管理人报酬的规定》及各地人民法院的相关规定执行。</w:t>
      </w:r>
    </w:p>
    <w:p>
      <w:pPr>
        <w:pStyle w:val="22"/>
        <w:numPr>
          <w:ilvl w:val="0"/>
          <w:numId w:val="1"/>
        </w:numPr>
        <w:adjustRightInd w:val="0"/>
        <w:snapToGrid w:val="0"/>
        <w:spacing w:line="56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代理重大、疑难、复杂或者具有涉外因素的法律服务事项，可按照法律服务事项性质所对应的收费标准在</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倍以内收费。</w:t>
      </w:r>
    </w:p>
    <w:p>
      <w:pPr>
        <w:adjustRightInd w:val="0"/>
        <w:snapToGrid w:val="0"/>
        <w:spacing w:beforeLines="50" w:afterLines="50" w:line="560" w:lineRule="exact"/>
        <w:jc w:val="center"/>
        <w:rPr>
          <w:rFonts w:ascii="Times New Roman" w:hAnsi="黑体"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第三部分  风险代理收费标准</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本所对接受委托的刑事诉讼案件、行政诉讼案件、国家赔偿案件、群体性诉讼案件、婚姻继承案件，以及请求给予社会保险待遇、最低生活保障待遇、赡养费、抚养费、扶养费、抚恤金、救济金、工伤赔偿、劳动报酬的案件，禁止实行或者变相实行风险代理收费。</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十一、风险代理收费可以按照约定固定的金额收费，也可以按照委托人最终实现的债权或者减免的债务金额（以下简称“标的额”）的一定比例收费。</w:t>
      </w:r>
    </w:p>
    <w:p>
      <w:pPr>
        <w:pStyle w:val="2"/>
        <w:adjustRightInd w:val="0"/>
        <w:snapToGrid w:val="0"/>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风险代理收费可以先收取基础服务费为</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至</w:t>
      </w:r>
      <w:r>
        <w:rPr>
          <w:rFonts w:ascii="Times New Roman" w:hAnsi="Times New Roman" w:eastAsia="仿宋_GB2312"/>
          <w:color w:val="000000" w:themeColor="text1"/>
          <w:sz w:val="32"/>
          <w:szCs w:val="32"/>
          <w:u w:val="single"/>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元。</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本所在风险代理的各个环节收取的律师服务费合计最高金额应当符合以下规定：标的额不足人民币100万元的部分，不得超过标的额的18%；标的额在人民币100万元以上不足500万元的部分，不得超过标的额的15%；标的额在人民币500万元以上不足1000万元的部分，不得超过标的额的12%；标的额在人民币1000万元以上不足5000万元的部分，不得超过标的额的9%；标的额在人民币5000万元以上的部分，不得超过标的额的6%。</w:t>
      </w:r>
    </w:p>
    <w:p>
      <w:pPr>
        <w:adjustRightInd w:val="0"/>
        <w:snapToGrid w:val="0"/>
        <w:spacing w:beforeLines="50" w:afterLines="50" w:line="560" w:lineRule="exact"/>
        <w:jc w:val="center"/>
        <w:rPr>
          <w:rFonts w:ascii="Times New Roman" w:hAnsi="黑体" w:eastAsia="黑体"/>
          <w:color w:val="000000" w:themeColor="text1"/>
          <w:sz w:val="32"/>
          <w:szCs w:val="32"/>
          <w14:textFill>
            <w14:solidFill>
              <w14:schemeClr w14:val="tx1"/>
            </w14:solidFill>
          </w14:textFill>
        </w:rPr>
      </w:pPr>
      <w:r>
        <w:rPr>
          <w:rFonts w:ascii="Times New Roman" w:hAnsi="黑体" w:eastAsia="黑体"/>
          <w:color w:val="000000" w:themeColor="text1"/>
          <w:sz w:val="32"/>
          <w:szCs w:val="32"/>
          <w14:textFill>
            <w14:solidFill>
              <w14:schemeClr w14:val="tx1"/>
            </w14:solidFill>
          </w14:textFill>
        </w:rPr>
        <w:t>第四部分  收费标准说明</w:t>
      </w:r>
    </w:p>
    <w:p>
      <w:pPr>
        <w:numPr>
          <w:ilvl w:val="255"/>
          <w:numId w:val="0"/>
        </w:num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十二、律师事务所提供法律服务过程中代委托人支付的诉讼费、仲裁费、鉴定费、公证费、查档费、保全费、翻译费、异地办案差旅费、专家论证费及其他费用，不属于律师服务费，由委托人另行支付。</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十三、律师事务所为农民工、残疾人等弱势群体或者为公益活动提供法律服务的，可以酌情减免律师服务费。承办法律援助案件，不得向受援人收费。</w:t>
      </w:r>
    </w:p>
    <w:p>
      <w:pPr>
        <w:adjustRightInd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十四、本标准中的“标的分段”“标的额分段”各段不含下限本数，含上限本数；“重大、疑难、复杂诉讼法律事务”按照《克拉玛依市律师事务所律师服务费标准制定指引（试行）》相关规定执行。</w:t>
      </w:r>
    </w:p>
    <w:p>
      <w:pPr>
        <w:pStyle w:val="2"/>
        <w:adjustRightInd w:val="0"/>
        <w:snapToGrid w:val="0"/>
        <w:spacing w:after="0" w:line="5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pPr>
        <w:pStyle w:val="2"/>
        <w:adjustRightInd w:val="0"/>
        <w:snapToGrid w:val="0"/>
        <w:spacing w:after="0" w:line="5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附件：本所律师对应收费标准关系表。</w:t>
      </w:r>
    </w:p>
    <w:p>
      <w:pPr>
        <w:adjustRightInd w:val="0"/>
        <w:snapToGrid w:val="0"/>
        <w:spacing w:line="56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adjustRightInd w:val="0"/>
        <w:snapToGrid w:val="0"/>
        <w:spacing w:line="54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附件3</w:t>
      </w:r>
    </w:p>
    <w:p>
      <w:pPr>
        <w:adjustRightInd w:val="0"/>
        <w:snapToGrid w:val="0"/>
        <w:spacing w:line="540" w:lineRule="exact"/>
        <w:jc w:val="center"/>
        <w:rPr>
          <w:rFonts w:ascii="Times New Roman" w:hAnsi="Times New Roman" w:eastAsia="方正小标宋简体"/>
          <w:color w:val="000000" w:themeColor="text1"/>
          <w:sz w:val="44"/>
          <w:szCs w:val="40"/>
          <w14:textFill>
            <w14:solidFill>
              <w14:schemeClr w14:val="tx1"/>
            </w14:solidFill>
          </w14:textFill>
        </w:rPr>
      </w:pPr>
      <w:r>
        <w:rPr>
          <w:rFonts w:ascii="Times New Roman" w:hAnsi="Times New Roman" w:eastAsia="方正小标宋简体"/>
          <w:color w:val="000000" w:themeColor="text1"/>
          <w:sz w:val="44"/>
          <w:szCs w:val="40"/>
          <w14:textFill>
            <w14:solidFill>
              <w14:schemeClr w14:val="tx1"/>
            </w14:solidFill>
          </w14:textFill>
        </w:rPr>
        <w:t>律师服务收费告知书</w:t>
      </w:r>
    </w:p>
    <w:p>
      <w:pPr>
        <w:adjustRightInd w:val="0"/>
        <w:snapToGrid w:val="0"/>
        <w:spacing w:line="540" w:lineRule="exact"/>
        <w:jc w:val="center"/>
        <w:rPr>
          <w:rFonts w:ascii="Times New Roman" w:hAnsi="Times New Roman" w:eastAsia="方正小标宋简体"/>
          <w:color w:val="000000" w:themeColor="text1"/>
          <w:sz w:val="44"/>
          <w:szCs w:val="40"/>
          <w14:textFill>
            <w14:solidFill>
              <w14:schemeClr w14:val="tx1"/>
            </w14:solidFill>
          </w14:textFill>
        </w:rPr>
      </w:pPr>
      <w:r>
        <w:rPr>
          <w:rFonts w:ascii="Times New Roman" w:hAnsi="Times New Roman" w:eastAsia="方正小标宋简体"/>
          <w:color w:val="000000" w:themeColor="text1"/>
          <w:sz w:val="44"/>
          <w:szCs w:val="40"/>
          <w14:textFill>
            <w14:solidFill>
              <w14:schemeClr w14:val="tx1"/>
            </w14:solidFill>
          </w14:textFill>
        </w:rPr>
        <w:t>（参考模板）</w:t>
      </w:r>
    </w:p>
    <w:p>
      <w:pPr>
        <w:adjustRightInd w:val="0"/>
        <w:snapToGrid w:val="0"/>
        <w:spacing w:line="540" w:lineRule="exact"/>
        <w:jc w:val="center"/>
        <w:rPr>
          <w:rFonts w:ascii="Times New Roman" w:hAnsi="Times New Roman" w:eastAsia="方正小标宋简体"/>
          <w:bCs/>
          <w:color w:val="000000" w:themeColor="text1"/>
          <w:sz w:val="30"/>
          <w:szCs w:val="30"/>
          <w14:textFill>
            <w14:solidFill>
              <w14:schemeClr w14:val="tx1"/>
            </w14:solidFill>
          </w14:textFill>
        </w:rPr>
      </w:pPr>
    </w:p>
    <w:p>
      <w:pPr>
        <w:numPr>
          <w:ilvl w:val="255"/>
          <w:numId w:val="0"/>
        </w:numPr>
        <w:adjustRightInd w:val="0"/>
        <w:snapToGrid w:val="0"/>
        <w:spacing w:line="540" w:lineRule="exac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尊敬的委托人：</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为充分保障贵方权益，规范律师服务收费行为,依据《中华人民共和国律师法》以及自治区律师协会、市律师协会相关行业规则，就律师服务收费事宜，敬告如下：</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一、律师服务收费遵循公开公平、自愿有偿、诚实信用、公平竞争的原则，律师服务收费实行市场调节价。</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二、接受委托人委托时，应签订委托代理合同，明确律师服务项目、收费方式和标准、收费数额(比例)、付款和结算方式、时限、条件及争议的解决方法等内容。</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律师服务费、办案费等全部费用由律师事务所统一收取，并由律师事务所开具税务部门规定的合法票据。发票是依法保护委托人利益的重要凭证，请务必要求律师在合理时间内提供发票，请勿因律师承诺不开发票可减少收费或认为无关紧要等原因放弃索取律师服务费发票。</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四、在办理案件的全过程中，律师个人不得以“办案费”“顾问费”等名义私自向委托人收取任何费用或接受委托人的财物或者其他利益。</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律师服务费是指服务报酬；办案费是指代委托人支付的费用（诉讼费、仲裁费、鉴定费、公证费、查档费、翻译费、异地办案差旅费、跨境通讯费、专家论证费及律师事务所代委托人支付的其他费用）。办案费不属于律师服务收费,须由委托人另行支付，但在实行风险代理收费中双方另有约定的除外。办案费可预收，在委托事项办结后提供清单、发票与委托人结算。</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五、除合同约定的费用外，承办案件律师不得以与办案机关、政府部门及其工作人员有特殊关系需要沟通，或承诺委托人案件必然胜诉、无罪为由，另行收取委托人费用。</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六、律师服务收费实行明码标价，本所在显著位置公布所有律师服务项目及收费标准,接受委托人的监督。</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七、异地提供法律服务，可执行律师事务所所在地或者提供法律服务所在地的律师服务收费规定，应当在委托代理合同中具体确定。</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八、委托人认为律师事务所或律师存在价格违法行为，可以通过函件、电话、来访等形式，向本所反映、投诉，也可向价格主管部门、司法行政部门或律师协会举报、投诉。</w:t>
      </w:r>
    </w:p>
    <w:p>
      <w:pPr>
        <w:adjustRightInd w:val="0"/>
        <w:snapToGrid w:val="0"/>
        <w:spacing w:line="440" w:lineRule="exact"/>
        <w:rPr>
          <w:rFonts w:ascii="Times New Roman" w:hAnsi="Times New Roman" w:eastAsia="仿宋_GB2312"/>
          <w:color w:val="000000" w:themeColor="text1"/>
          <w:sz w:val="28"/>
          <w:szCs w:val="28"/>
          <w14:textFill>
            <w14:solidFill>
              <w14:schemeClr w14:val="tx1"/>
            </w14:solidFill>
          </w14:textFill>
        </w:rPr>
      </w:pPr>
    </w:p>
    <w:p>
      <w:pPr>
        <w:adjustRightInd w:val="0"/>
        <w:snapToGrid w:val="0"/>
        <w:spacing w:line="440" w:lineRule="exact"/>
        <w:rPr>
          <w:rFonts w:ascii="Times New Roman" w:hAnsi="Times New Roman" w:eastAsia="仿宋_GB2312"/>
          <w:color w:val="000000" w:themeColor="text1"/>
          <w:sz w:val="28"/>
          <w:szCs w:val="28"/>
          <w14:textFill>
            <w14:solidFill>
              <w14:schemeClr w14:val="tx1"/>
            </w14:solidFill>
          </w14:textFill>
        </w:rPr>
      </w:pPr>
    </w:p>
    <w:p>
      <w:pPr>
        <w:adjustRightInd w:val="0"/>
        <w:snapToGrid w:val="0"/>
        <w:spacing w:line="54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 xml:space="preserve">                              </w:t>
      </w:r>
      <w:r>
        <w:rPr>
          <w:rFonts w:ascii="Times New Roman" w:hAnsi="Times New Roman" w:eastAsia="仿宋_GB2312"/>
          <w:color w:val="000000" w:themeColor="text1"/>
          <w:sz w:val="28"/>
          <w:szCs w:val="28"/>
          <w:u w:val="single"/>
          <w14:textFill>
            <w14:solidFill>
              <w14:schemeClr w14:val="tx1"/>
            </w14:solidFill>
          </w14:textFill>
        </w:rPr>
        <w:t xml:space="preserve">            </w:t>
      </w:r>
      <w:r>
        <w:rPr>
          <w:rFonts w:ascii="Times New Roman" w:hAnsi="Times New Roman" w:eastAsia="仿宋_GB2312"/>
          <w:color w:val="000000" w:themeColor="text1"/>
          <w:sz w:val="28"/>
          <w:szCs w:val="28"/>
          <w14:textFill>
            <w14:solidFill>
              <w14:schemeClr w14:val="tx1"/>
            </w14:solidFill>
          </w14:textFill>
        </w:rPr>
        <w:t>律师事务所</w:t>
      </w:r>
    </w:p>
    <w:p>
      <w:pPr>
        <w:adjustRightInd w:val="0"/>
        <w:snapToGrid w:val="0"/>
        <w:spacing w:line="54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 xml:space="preserve">                                        年   月   日</w:t>
      </w:r>
    </w:p>
    <w:p>
      <w:pPr>
        <w:adjustRightInd w:val="0"/>
        <w:snapToGrid w:val="0"/>
        <w:spacing w:line="440" w:lineRule="exact"/>
        <w:rPr>
          <w:rFonts w:ascii="Times New Roman" w:hAnsi="Times New Roman" w:eastAsia="仿宋_GB2312"/>
          <w:color w:val="000000" w:themeColor="text1"/>
          <w:sz w:val="28"/>
          <w:szCs w:val="28"/>
          <w14:textFill>
            <w14:solidFill>
              <w14:schemeClr w14:val="tx1"/>
            </w14:solidFill>
          </w14:textFill>
        </w:rPr>
      </w:pPr>
    </w:p>
    <w:p>
      <w:pPr>
        <w:adjustRightInd w:val="0"/>
        <w:snapToGrid w:val="0"/>
        <w:spacing w:line="440" w:lineRule="exact"/>
        <w:rPr>
          <w:rFonts w:ascii="Times New Roman" w:hAnsi="Times New Roman" w:eastAsia="仿宋_GB2312"/>
          <w:color w:val="000000" w:themeColor="text1"/>
          <w:sz w:val="28"/>
          <w:szCs w:val="28"/>
          <w14:textFill>
            <w14:solidFill>
              <w14:schemeClr w14:val="tx1"/>
            </w14:solidFill>
          </w14:textFill>
        </w:rPr>
      </w:pP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委托人确认：本告知书相关内容，我方已阅读、知悉及明确。</w:t>
      </w:r>
    </w:p>
    <w:p>
      <w:pPr>
        <w:numPr>
          <w:ilvl w:val="255"/>
          <w:numId w:val="0"/>
        </w:numPr>
        <w:adjustRightInd w:val="0"/>
        <w:snapToGrid w:val="0"/>
        <w:spacing w:line="44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overflowPunct w:val="0"/>
        <w:adjustRightInd w:val="0"/>
        <w:snapToGrid w:val="0"/>
        <w:spacing w:line="440" w:lineRule="exact"/>
        <w:ind w:left="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 </w:t>
      </w:r>
    </w:p>
    <w:p>
      <w:pPr>
        <w:adjustRightInd w:val="0"/>
        <w:snapToGrid w:val="0"/>
        <w:spacing w:line="540" w:lineRule="exact"/>
        <w:ind w:right="210" w:rightChars="1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                              委托人签署：</w:t>
      </w:r>
    </w:p>
    <w:p>
      <w:pPr>
        <w:adjustRightInd w:val="0"/>
        <w:snapToGrid w:val="0"/>
        <w:spacing w:line="54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                                      年   月   日</w:t>
      </w:r>
      <w:r>
        <w:rPr>
          <w:rFonts w:ascii="Times New Roman" w:hAnsi="Times New Roman" w:eastAsia="仿宋_GB2312"/>
          <w:color w:val="000000" w:themeColor="text1"/>
          <w:sz w:val="28"/>
          <w:szCs w:val="28"/>
          <w14:textFill>
            <w14:solidFill>
              <w14:schemeClr w14:val="tx1"/>
            </w14:solidFill>
          </w14:textFill>
        </w:rPr>
        <w:br w:type="page"/>
      </w:r>
    </w:p>
    <w:p>
      <w:pPr>
        <w:adjustRightInd w:val="0"/>
        <w:snapToGrid w:val="0"/>
        <w:spacing w:line="54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附件4</w:t>
      </w:r>
    </w:p>
    <w:p>
      <w:pPr>
        <w:adjustRightInd w:val="0"/>
        <w:snapToGrid w:val="0"/>
        <w:spacing w:line="540" w:lineRule="exact"/>
        <w:jc w:val="center"/>
        <w:rPr>
          <w:rFonts w:ascii="Times New Roman" w:hAnsi="Times New Roman" w:eastAsia="方正小标宋简体"/>
          <w:color w:val="000000" w:themeColor="text1"/>
          <w:sz w:val="44"/>
          <w:szCs w:val="40"/>
          <w14:textFill>
            <w14:solidFill>
              <w14:schemeClr w14:val="tx1"/>
            </w14:solidFill>
          </w14:textFill>
        </w:rPr>
      </w:pPr>
      <w:r>
        <w:rPr>
          <w:rFonts w:ascii="Times New Roman" w:hAnsi="Times New Roman" w:eastAsia="方正小标宋简体"/>
          <w:color w:val="000000" w:themeColor="text1"/>
          <w:sz w:val="44"/>
          <w:szCs w:val="40"/>
          <w14:textFill>
            <w14:solidFill>
              <w14:schemeClr w14:val="tx1"/>
            </w14:solidFill>
          </w14:textFill>
        </w:rPr>
        <w:t>签订风险代理委托合同告知书</w:t>
      </w:r>
    </w:p>
    <w:p>
      <w:pPr>
        <w:adjustRightInd w:val="0"/>
        <w:snapToGrid w:val="0"/>
        <w:spacing w:line="540" w:lineRule="exact"/>
        <w:jc w:val="center"/>
        <w:rPr>
          <w:rFonts w:hint="eastAsia"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（本告知书是风险代理合同的组成部分，请委托人在签订</w:t>
      </w:r>
      <w:r>
        <w:rPr>
          <w:rFonts w:ascii="楷体_GB2312" w:hAnsi="Times New Roman" w:eastAsia="楷体_GB2312"/>
          <w:color w:val="000000" w:themeColor="text1"/>
          <w:sz w:val="32"/>
          <w:szCs w:val="32"/>
          <w14:textFill>
            <w14:solidFill>
              <w14:schemeClr w14:val="tx1"/>
            </w14:solidFill>
          </w14:textFill>
        </w:rPr>
        <w:br w:type="textWrapping"/>
      </w:r>
      <w:r>
        <w:rPr>
          <w:rFonts w:hint="eastAsia" w:ascii="楷体_GB2312" w:hAnsi="Times New Roman" w:eastAsia="楷体_GB2312"/>
          <w:color w:val="000000" w:themeColor="text1"/>
          <w:sz w:val="32"/>
          <w:szCs w:val="32"/>
          <w14:textFill>
            <w14:solidFill>
              <w14:schemeClr w14:val="tx1"/>
            </w14:solidFill>
          </w14:textFill>
        </w:rPr>
        <w:t>风险代理委托合同之前阅读）</w:t>
      </w:r>
    </w:p>
    <w:p>
      <w:pPr>
        <w:adjustRightInd w:val="0"/>
        <w:snapToGrid w:val="0"/>
        <w:spacing w:line="540" w:lineRule="exact"/>
        <w:jc w:val="center"/>
        <w:rPr>
          <w:rFonts w:hint="eastAsia" w:ascii="楷体_GB2312" w:hAnsi="Times New Roman" w:eastAsia="楷体_GB2312"/>
          <w:color w:val="000000" w:themeColor="text1"/>
          <w:sz w:val="32"/>
          <w:szCs w:val="30"/>
          <w14:textFill>
            <w14:solidFill>
              <w14:schemeClr w14:val="tx1"/>
            </w14:solidFill>
          </w14:textFill>
        </w:rPr>
      </w:pPr>
      <w:r>
        <w:rPr>
          <w:rFonts w:hint="eastAsia" w:ascii="楷体_GB2312" w:hAnsi="Times New Roman" w:eastAsia="楷体_GB2312"/>
          <w:color w:val="000000" w:themeColor="text1"/>
          <w:sz w:val="32"/>
          <w:szCs w:val="30"/>
          <w14:textFill>
            <w14:solidFill>
              <w14:schemeClr w14:val="tx1"/>
            </w14:solidFill>
          </w14:textFill>
        </w:rPr>
        <w:t>（征求意见稿）</w:t>
      </w:r>
    </w:p>
    <w:p>
      <w:pPr>
        <w:adjustRightInd w:val="0"/>
        <w:snapToGrid w:val="0"/>
        <w:spacing w:line="540" w:lineRule="exact"/>
        <w:rPr>
          <w:rFonts w:ascii="Times New Roman" w:hAnsi="Times New Roman" w:eastAsia="楷体"/>
          <w:color w:val="000000" w:themeColor="text1"/>
          <w:sz w:val="32"/>
          <w:szCs w:val="32"/>
          <w14:textFill>
            <w14:solidFill>
              <w14:schemeClr w14:val="tx1"/>
            </w14:solidFill>
          </w14:textFill>
        </w:rPr>
      </w:pPr>
    </w:p>
    <w:p>
      <w:pPr>
        <w:numPr>
          <w:ilvl w:val="255"/>
          <w:numId w:val="0"/>
        </w:numPr>
        <w:adjustRightInd w:val="0"/>
        <w:snapToGrid w:val="0"/>
        <w:spacing w:line="540" w:lineRule="exact"/>
        <w:rPr>
          <w:rFonts w:ascii="Times New Roman" w:hAnsi="Times New Roman" w:eastAsia="仿宋_GB2312"/>
          <w:b/>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委托人：</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您即将签订的委托代理合同（以下称本合同）属于含有风险代理收费内容的委托合同，_____________律师事务所特告知如下事项：</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一、本合同是风险代理收费的委托合同。</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sz w:val="32"/>
          <w:szCs w:val="32"/>
          <w14:textFill>
            <w14:solidFill>
              <w14:schemeClr w14:val="tx1"/>
            </w14:solidFill>
          </w14:textFill>
        </w:rPr>
        <w:t>风险代理收费是指律师事务所在接受委托时先收取部分基础费用或者不收取基础费用，其余律师服务费由律师事务所与委托人就委托服务事项应实现的目标、效果和支付律师服务费的时间、比例、条件等先行约定，达到约定条件的，按约定支付风险费用；没有达到约定条件的，按约定不再支付相应风险费用。</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三、委托服务事项属于下列情形之一的，不得进行风险代理：</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w:t>
      </w:r>
      <w:r>
        <w:rPr>
          <w:rFonts w:ascii="Times New Roman" w:hAnsi="Times New Roman" w:eastAsia="仿宋_GB2312"/>
          <w:color w:val="000000" w:themeColor="text1"/>
          <w:sz w:val="32"/>
          <w:szCs w:val="32"/>
          <w14:textFill>
            <w14:solidFill>
              <w14:schemeClr w14:val="tx1"/>
            </w14:solidFill>
          </w14:textFill>
        </w:rPr>
        <w:t>刑事诉讼案件；</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sz w:val="32"/>
          <w:szCs w:val="32"/>
          <w14:textFill>
            <w14:solidFill>
              <w14:schemeClr w14:val="tx1"/>
            </w14:solidFill>
          </w14:textFill>
        </w:rPr>
        <w:t>行政诉讼案件；</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w:t>
      </w:r>
      <w:r>
        <w:rPr>
          <w:rFonts w:ascii="Times New Roman" w:hAnsi="Times New Roman" w:eastAsia="仿宋_GB2312"/>
          <w:color w:val="000000" w:themeColor="text1"/>
          <w:sz w:val="32"/>
          <w:szCs w:val="32"/>
          <w14:textFill>
            <w14:solidFill>
              <w14:schemeClr w14:val="tx1"/>
            </w14:solidFill>
          </w14:textFill>
        </w:rPr>
        <w:t>国家赔偿案件；</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w:t>
      </w:r>
      <w:r>
        <w:rPr>
          <w:rFonts w:ascii="Times New Roman" w:hAnsi="Times New Roman" w:eastAsia="仿宋_GB2312"/>
          <w:color w:val="000000" w:themeColor="text1"/>
          <w:sz w:val="32"/>
          <w:szCs w:val="32"/>
          <w14:textFill>
            <w14:solidFill>
              <w14:schemeClr w14:val="tx1"/>
            </w14:solidFill>
          </w14:textFill>
        </w:rPr>
        <w:t>群体性诉讼案件；</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w:t>
      </w:r>
      <w:r>
        <w:rPr>
          <w:rFonts w:ascii="Times New Roman" w:hAnsi="Times New Roman" w:eastAsia="仿宋_GB2312"/>
          <w:color w:val="000000" w:themeColor="text1"/>
          <w:sz w:val="32"/>
          <w:szCs w:val="32"/>
          <w14:textFill>
            <w14:solidFill>
              <w14:schemeClr w14:val="tx1"/>
            </w14:solidFill>
          </w14:textFill>
        </w:rPr>
        <w:t>婚姻继承案件；</w:t>
      </w:r>
    </w:p>
    <w:p>
      <w:pPr>
        <w:numPr>
          <w:ilvl w:val="255"/>
          <w:numId w:val="0"/>
        </w:num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w:t>
      </w:r>
      <w:r>
        <w:rPr>
          <w:rFonts w:ascii="Times New Roman" w:hAnsi="Times New Roman" w:eastAsia="仿宋_GB2312"/>
          <w:color w:val="000000" w:themeColor="text1"/>
          <w:sz w:val="32"/>
          <w:szCs w:val="32"/>
          <w14:textFill>
            <w14:solidFill>
              <w14:schemeClr w14:val="tx1"/>
            </w14:solidFill>
          </w14:textFill>
        </w:rPr>
        <w:t>请求给予社会保险待遇、最低生活保障待遇、赡养费、抚养费、扶养费、抚恤金、救济金、工伤赔偿、劳动报酬的案件；</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（七）</w:t>
      </w:r>
      <w:r>
        <w:rPr>
          <w:rFonts w:ascii="Times New Roman" w:hAnsi="Times New Roman" w:eastAsia="仿宋_GB2312"/>
          <w:color w:val="000000" w:themeColor="text1"/>
          <w:sz w:val="32"/>
          <w:szCs w:val="32"/>
          <w14:textFill>
            <w14:solidFill>
              <w14:schemeClr w14:val="tx1"/>
            </w14:solidFill>
          </w14:textFill>
        </w:rPr>
        <w:t>法律、行政法规、地方性法规、规章等规定的其他不得风险代理收费的法律事务。</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本合同是风险代理收费合同，根据司法部、国家发展和改革委员会及国家市场监督管理总局的相关规定，无论采用固定金额收费还是按照委托人最终实现的债权或者减免的债务金额（以下称为“标的额”）的一定比例收费，律师事务所在风险代理各个环节收取的律师服务费（包括基础费用在内）合计最高金额应当符合下列规定：</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w:t>
      </w:r>
      <w:r>
        <w:rPr>
          <w:rFonts w:ascii="Times New Roman" w:hAnsi="Times New Roman" w:eastAsia="仿宋_GB2312"/>
          <w:color w:val="000000" w:themeColor="text1"/>
          <w:sz w:val="32"/>
          <w:szCs w:val="32"/>
          <w14:textFill>
            <w14:solidFill>
              <w14:schemeClr w14:val="tx1"/>
            </w14:solidFill>
          </w14:textFill>
        </w:rPr>
        <w:t>标的额不足人民币100万元的部分，不得超过标的额的18%；</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sz w:val="32"/>
          <w:szCs w:val="32"/>
          <w14:textFill>
            <w14:solidFill>
              <w14:schemeClr w14:val="tx1"/>
            </w14:solidFill>
          </w14:textFill>
        </w:rPr>
        <w:t>标的额在人民币100万元以上不足500万元的部分，不得超过标的额的15%；</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w:t>
      </w:r>
      <w:r>
        <w:rPr>
          <w:rFonts w:ascii="Times New Roman" w:hAnsi="Times New Roman" w:eastAsia="仿宋_GB2312"/>
          <w:color w:val="000000" w:themeColor="text1"/>
          <w:sz w:val="32"/>
          <w:szCs w:val="32"/>
          <w14:textFill>
            <w14:solidFill>
              <w14:schemeClr w14:val="tx1"/>
            </w14:solidFill>
          </w14:textFill>
        </w:rPr>
        <w:t>标的额在人民币500万元以上不足1000万元的部分，不得超过标的额的12%；</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w:t>
      </w:r>
      <w:r>
        <w:rPr>
          <w:rFonts w:ascii="Times New Roman" w:hAnsi="Times New Roman" w:eastAsia="仿宋_GB2312"/>
          <w:color w:val="000000" w:themeColor="text1"/>
          <w:sz w:val="32"/>
          <w:szCs w:val="32"/>
          <w14:textFill>
            <w14:solidFill>
              <w14:schemeClr w14:val="tx1"/>
            </w14:solidFill>
          </w14:textFill>
        </w:rPr>
        <w:t>标的额在人民币1000万元以上不足5000万元的部分，不得超过标的额的9%；</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w:t>
      </w:r>
      <w:r>
        <w:rPr>
          <w:rFonts w:ascii="Times New Roman" w:hAnsi="Times New Roman" w:eastAsia="仿宋_GB2312"/>
          <w:color w:val="000000" w:themeColor="text1"/>
          <w:sz w:val="32"/>
          <w:szCs w:val="32"/>
          <w14:textFill>
            <w14:solidFill>
              <w14:schemeClr w14:val="tx1"/>
            </w14:solidFill>
          </w14:textFill>
        </w:rPr>
        <w:t>标的额在人民币5000万元以上的部分，不得超过标的额的6%。</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五、律师事务所提供了本合同约定的法律服务，且合同约定的/希望达到的委托目标或者效果已经达到时，委托人与律师事务所应根据委托目标或者效果达成情况和本合同约定进行风险代理律师服务费结算。</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六、所有委托办理的法律服务事项均存在法律风险。诉讼或</w:t>
      </w:r>
      <w:r>
        <w:rPr>
          <w:rFonts w:ascii="Times New Roman" w:hAnsi="Times New Roman" w:eastAsia="仿宋_GB2312"/>
          <w:color w:val="000000" w:themeColor="text1"/>
          <w:spacing w:val="-6"/>
          <w:sz w:val="32"/>
          <w:szCs w:val="32"/>
          <w14:textFill>
            <w14:solidFill>
              <w14:schemeClr w14:val="tx1"/>
            </w14:solidFill>
          </w14:textFill>
        </w:rPr>
        <w:t>者仲裁请求及抗辩理由均存在部分、全部被驳回或者不被支持的可能，非诉讼法律服务事项也存在不能达到委托人所期望目标的可能。</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起诉状、仲裁申请书或者答辩状中的请求、抗辩，及双方在本合同约定的服务事项等内容，是委托人与律师事务所期望达成的目标。在目标未能达成时，委托人将承担败诉、部分败诉或者债权未实现（或部分未实现），债务未减免（或部分未减免）等风险，律师事务所也将因此并根据委托合同的约定无权收取风险代理的全部或者部分律师服务费。</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七、承办律师不得向委托人明示或者暗示与司法机关、仲裁机构及其工作人员有特殊关系，更不得以向司法人员、仲裁员疏通关系等为由收取所谓的“办案费”“顾问费”等任何其他费用。</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律师服务费和办案费由律师事务所统一收取。律师个人不得向委托人收取任何费用。律师事务所收取律师服务费，必须使用税务部门规定的合法票据。委托人向律师事务所支付律师服务费后，律师事务所应当向委托人出具合法票据。</w:t>
      </w:r>
    </w:p>
    <w:p>
      <w:pPr>
        <w:numPr>
          <w:ilvl w:val="255"/>
          <w:numId w:val="0"/>
        </w:numPr>
        <w:adjustRightInd w:val="0"/>
        <w:snapToGrid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委托人委托律师事务所或者承办律师代付的诉讼费、仲裁费、鉴定费等相关第三方费用，或者支出的异地办案差旅费等，律师事务所或者承办律师应当主动提供有效凭证。</w:t>
      </w:r>
    </w:p>
    <w:p>
      <w:pPr>
        <w:adjustRightInd w:val="0"/>
        <w:snapToGrid w:val="0"/>
        <w:spacing w:line="52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请委托人在确定已充分了解上述内容后才签订委托代理合同，否则委托人有权拒绝签订委托代理合同。</w:t>
      </w:r>
    </w:p>
    <w:p>
      <w:pPr>
        <w:pStyle w:val="21"/>
        <w:widowControl w:val="0"/>
        <w:wordWrap/>
        <w:adjustRightInd w:val="0"/>
        <w:snapToGrid w:val="0"/>
        <w:spacing w:line="520" w:lineRule="exact"/>
        <w:rPr>
          <w:color w:val="000000" w:themeColor="text1"/>
          <w14:textFill>
            <w14:solidFill>
              <w14:schemeClr w14:val="tx1"/>
            </w14:solidFill>
          </w14:textFill>
        </w:rPr>
      </w:pPr>
    </w:p>
    <w:p>
      <w:pPr>
        <w:adjustRightInd w:val="0"/>
        <w:snapToGrid w:val="0"/>
        <w:spacing w:line="520" w:lineRule="exact"/>
        <w:ind w:firstLine="643"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委托人确认</w:t>
      </w:r>
      <w:r>
        <w:rPr>
          <w:rFonts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u w:val="single"/>
          <w14:textFill>
            <w14:solidFill>
              <w14:schemeClr w14:val="tx1"/>
            </w14:solidFill>
          </w14:textFill>
        </w:rPr>
        <w:t>承办律师已告知我方上述事项，我方已充分了解告知书中所告知、提示的全部内容。</w:t>
      </w:r>
    </w:p>
    <w:p>
      <w:pPr>
        <w:adjustRightInd w:val="0"/>
        <w:snapToGrid w:val="0"/>
        <w:spacing w:line="520" w:lineRule="exact"/>
        <w:rPr>
          <w:rFonts w:ascii="Times New Roman" w:hAnsi="Times New Roman"/>
          <w:color w:val="000000" w:themeColor="text1"/>
          <w14:textFill>
            <w14:solidFill>
              <w14:schemeClr w14:val="tx1"/>
            </w14:solidFill>
          </w14:textFill>
        </w:rPr>
      </w:pPr>
    </w:p>
    <w:p>
      <w:pPr>
        <w:pStyle w:val="2"/>
        <w:adjustRightInd w:val="0"/>
        <w:snapToGrid w:val="0"/>
        <w:spacing w:after="0" w:line="520" w:lineRule="exact"/>
        <w:ind w:firstLine="3827" w:firstLineChars="1196"/>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委托人签名或者盖章：</w:t>
      </w:r>
    </w:p>
    <w:p>
      <w:pPr>
        <w:adjustRightInd w:val="0"/>
        <w:snapToGrid w:val="0"/>
        <w:spacing w:line="520" w:lineRule="exact"/>
        <w:ind w:firstLine="4819" w:firstLineChars="1506"/>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日期：</w:t>
      </w:r>
    </w:p>
    <w:p>
      <w:pPr>
        <w:adjustRightInd w:val="0"/>
        <w:snapToGrid w:val="0"/>
        <w:spacing w:line="56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adjustRightInd w:val="0"/>
        <w:snapToGrid w:val="0"/>
        <w:spacing w:line="54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附件5</w:t>
      </w:r>
    </w:p>
    <w:p>
      <w:pPr>
        <w:adjustRightInd w:val="0"/>
        <w:snapToGrid w:val="0"/>
        <w:spacing w:line="540" w:lineRule="exact"/>
        <w:jc w:val="center"/>
        <w:rPr>
          <w:rFonts w:ascii="Times New Roman" w:hAnsi="Times New Roman" w:eastAsia="方正小标宋简体"/>
          <w:color w:val="000000" w:themeColor="text1"/>
          <w:sz w:val="44"/>
          <w:szCs w:val="40"/>
          <w14:textFill>
            <w14:solidFill>
              <w14:schemeClr w14:val="tx1"/>
            </w14:solidFill>
          </w14:textFill>
        </w:rPr>
      </w:pPr>
      <w:r>
        <w:rPr>
          <w:rFonts w:ascii="Times New Roman" w:hAnsi="Times New Roman" w:eastAsia="方正小标宋简体"/>
          <w:color w:val="000000" w:themeColor="text1"/>
          <w:sz w:val="44"/>
          <w:szCs w:val="40"/>
          <w14:textFill>
            <w14:solidFill>
              <w14:schemeClr w14:val="tx1"/>
            </w14:solidFill>
          </w14:textFill>
        </w:rPr>
        <w:t>风险代理委托合同</w:t>
      </w:r>
    </w:p>
    <w:p>
      <w:pPr>
        <w:adjustRightInd w:val="0"/>
        <w:snapToGrid w:val="0"/>
        <w:spacing w:line="540" w:lineRule="exact"/>
        <w:jc w:val="center"/>
        <w:rPr>
          <w:rFonts w:hint="eastAsia"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（示范文本）</w:t>
      </w:r>
    </w:p>
    <w:p>
      <w:pPr>
        <w:adjustRightInd w:val="0"/>
        <w:snapToGrid w:val="0"/>
        <w:spacing w:line="540" w:lineRule="exact"/>
        <w:jc w:val="center"/>
        <w:rPr>
          <w:rFonts w:ascii="Times New Roman" w:hAnsi="Times New Roman" w:eastAsia="仿宋_GB2312"/>
          <w:color w:val="000000" w:themeColor="text1"/>
          <w:sz w:val="32"/>
          <w:szCs w:val="30"/>
          <w14:textFill>
            <w14:solidFill>
              <w14:schemeClr w14:val="tx1"/>
            </w14:solidFill>
          </w14:textFill>
        </w:rPr>
      </w:pPr>
      <w:r>
        <w:rPr>
          <w:rFonts w:ascii="Times New Roman" w:hAnsi="Times New Roman" w:eastAsia="仿宋_GB2312"/>
          <w:color w:val="000000" w:themeColor="text1"/>
          <w:sz w:val="32"/>
          <w:szCs w:val="30"/>
          <w14:textFill>
            <w14:solidFill>
              <w14:schemeClr w14:val="tx1"/>
            </w14:solidFill>
          </w14:textFill>
        </w:rPr>
        <w:t>（征求意见稿）</w:t>
      </w:r>
    </w:p>
    <w:p>
      <w:pPr>
        <w:pStyle w:val="2"/>
        <w:adjustRightInd w:val="0"/>
        <w:snapToGrid w:val="0"/>
        <w:spacing w:after="0" w:line="540" w:lineRule="exact"/>
        <w:rPr>
          <w:rFonts w:ascii="Times New Roman" w:hAnsi="Times New Roman"/>
          <w:color w:val="000000" w:themeColor="text1"/>
          <w:sz w:val="32"/>
          <w:szCs w:val="32"/>
          <w14:textFill>
            <w14:solidFill>
              <w14:schemeClr w14:val="tx1"/>
            </w14:solidFill>
          </w14:textFill>
        </w:rPr>
      </w:pPr>
    </w:p>
    <w:p>
      <w:pPr>
        <w:adjustRightInd w:val="0"/>
        <w:snapToGrid w:val="0"/>
        <w:spacing w:line="540" w:lineRule="exact"/>
        <w:jc w:val="right"/>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编号：</w:t>
      </w:r>
      <w:r>
        <w:rPr>
          <w:rFonts w:ascii="Times New Roman" w:hAnsi="Times New Roman" w:eastAsia="仿宋"/>
          <w:color w:val="000000" w:themeColor="text1"/>
          <w:sz w:val="32"/>
          <w:szCs w:val="32"/>
          <w14:textFill>
            <w14:solidFill>
              <w14:schemeClr w14:val="tx1"/>
            </w14:solidFill>
          </w14:textFill>
        </w:rPr>
        <w:t>＿＿＿＿＿＿＿＿＿＿</w:t>
      </w:r>
    </w:p>
    <w:p>
      <w:pPr>
        <w:adjustRightInd w:val="0"/>
        <w:snapToGrid w:val="0"/>
        <w:spacing w:line="540" w:lineRule="exact"/>
        <w:ind w:firstLine="643"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甲方：</w:t>
      </w:r>
    </w:p>
    <w:p>
      <w:pPr>
        <w:adjustRightInd w:val="0"/>
        <w:snapToGrid w:val="0"/>
        <w:spacing w:line="540" w:lineRule="exact"/>
        <w:ind w:firstLine="643"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电话：</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p>
    <w:p>
      <w:pPr>
        <w:tabs>
          <w:tab w:val="left" w:pos="1240"/>
          <w:tab w:val="left" w:pos="5400"/>
          <w:tab w:val="left" w:pos="5580"/>
        </w:tabs>
        <w:adjustRightInd w:val="0"/>
        <w:snapToGrid w:val="0"/>
        <w:spacing w:line="54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乙方：</w:t>
      </w:r>
      <w:r>
        <w:rPr>
          <w:rFonts w:ascii="Times New Roman" w:hAnsi="Times New Roman" w:eastAsia="仿宋"/>
          <w:color w:val="000000" w:themeColor="text1"/>
          <w:sz w:val="32"/>
          <w:szCs w:val="32"/>
          <w14:textFill>
            <w14:solidFill>
              <w14:schemeClr w14:val="tx1"/>
            </w14:solidFill>
          </w14:textFill>
        </w:rPr>
        <w:t>＿＿＿＿＿＿＿＿＿＿＿＿</w:t>
      </w:r>
      <w:r>
        <w:rPr>
          <w:rFonts w:ascii="Times New Roman" w:hAnsi="Times New Roman" w:eastAsia="仿宋_GB2312"/>
          <w:bCs/>
          <w:color w:val="000000" w:themeColor="text1"/>
          <w:sz w:val="32"/>
          <w:szCs w:val="32"/>
          <w14:textFill>
            <w14:solidFill>
              <w14:schemeClr w14:val="tx1"/>
            </w14:solidFill>
          </w14:textFill>
        </w:rPr>
        <w:t>律师事务所</w:t>
      </w:r>
    </w:p>
    <w:p>
      <w:pPr>
        <w:tabs>
          <w:tab w:val="left" w:pos="3500"/>
          <w:tab w:val="left" w:pos="5400"/>
          <w:tab w:val="left" w:pos="5580"/>
        </w:tabs>
        <w:adjustRightInd w:val="0"/>
        <w:snapToGrid w:val="0"/>
        <w:spacing w:line="540" w:lineRule="exact"/>
        <w:ind w:firstLine="643" w:firstLineChars="200"/>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地址：</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甲乙双方经过充分协商，就甲方委托乙方办理本合同约定的法律服务事项达成一致意见，订立本合同，供双方遵照执行。</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甲方因与</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（单位/个人）因</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一案/事项聘请乙方律师作为代理人，乙方指派</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等担任甲方的委托代理人/承办律师。</w:t>
      </w:r>
    </w:p>
    <w:p>
      <w:pPr>
        <w:pStyle w:val="23"/>
        <w:adjustRightInd w:val="0"/>
        <w:snapToGrid w:val="0"/>
        <w:spacing w:line="540" w:lineRule="exact"/>
        <w:ind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方同意乙方律师指派助理配合完成辅助性工作。若乙方委派的律师因不可抗力或其他客观合理原因无法继续担任甲方的委托代理人/承办律师的，乙方应及时将情况通报甲方，经与甲方协商后，乙方可另行委派乙方其他律师担任甲方的委托代理人/承办律师。</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甲方委托乙方的代理权限详见《授权委托书》。</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经双方协商确认/约定，本合同委托事项/双方约定的目标/效果为：</w:t>
      </w:r>
      <w:r>
        <w:rPr>
          <w:rFonts w:ascii="Times New Roman" w:hAnsi="Times New Roman" w:eastAsia="仿宋" w:cs="Times New Roman"/>
          <w:color w:val="000000" w:themeColor="text1"/>
          <w:sz w:val="32"/>
          <w:szCs w:val="32"/>
          <w14:textFill>
            <w14:solidFill>
              <w14:schemeClr w14:val="tx1"/>
            </w14:solidFill>
          </w14:textFill>
        </w:rPr>
        <w:t>＿＿＿＿＿＿＿＿＿＿＿＿＿＿＿＿＿＿＿＿＿＿＿＿＿＿＿＿＿＿＿＿＿＿＿＿＿＿＿＿＿＿＿＿＿＿＿＿。</w:t>
      </w:r>
    </w:p>
    <w:p>
      <w:pPr>
        <w:pStyle w:val="23"/>
        <w:adjustRightInd w:val="0"/>
        <w:snapToGrid w:val="0"/>
        <w:spacing w:line="540" w:lineRule="exact"/>
        <w:ind w:firstLine="64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鉴于委托目标或效果的实现受多方面因素的影响，因此，双方的上述约定并不构成乙方对委托目标或效果实现的保证。甲方不得要求乙方或者乙方人员以非法手段或者提供法律服务之外的途径或方式达到上述委托目标或者效果。</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乙方律师应当严格遵守职业道德和执业纪律，尽职尽责地根据法律、法规的规定及双方约定，完成本合同约定的委托事项，积极维护甲方合法权益，具体如下：</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（一）充分运用自己的专业知识和技能，最大限度地维护甲方合法权益；</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（二）遵守诚信原则，依据法律、法规的规定作出专业判断，客观告知甲方所委托事务可能出现的法律风险；</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（三）根据法律规定的时限、时效以及案件处理部门、机构</w:t>
      </w:r>
      <w:r>
        <w:rPr>
          <w:rFonts w:ascii="Times New Roman" w:hAnsi="Times New Roman" w:eastAsia="仿宋_GB2312" w:cs="Times New Roman"/>
          <w:color w:val="000000" w:themeColor="text1"/>
          <w:spacing w:val="-6"/>
          <w:sz w:val="32"/>
          <w:szCs w:val="32"/>
          <w14:textFill>
            <w14:solidFill>
              <w14:schemeClr w14:val="tx1"/>
            </w14:solidFill>
          </w14:textFill>
        </w:rPr>
        <w:t>的要求，及时提交证据，按时出庭或到场，及时办理受委托的事务；</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（四）本合同履行期间，在涉及甲方的对抗性案件中，未事先经甲方书面同意，不得委派律师同时担任与甲方有利益冲突的另一方的委托代理人；</w:t>
      </w:r>
    </w:p>
    <w:p>
      <w:pPr>
        <w:pStyle w:val="23"/>
        <w:adjustRightInd w:val="0"/>
        <w:snapToGrid w:val="0"/>
        <w:spacing w:line="540" w:lineRule="exact"/>
        <w:ind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（五）对获知的甲方商业秘密或个人隐私负有保密义务，无法定理由或未经甲方同意的情况下，不得向任何第三方披露。</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乙方应当对甲方业务单独建档管理，对涉及甲方的原始证据、法律文件和财物应当妥善保管，设立交接记录。档案保存时间应符合律师业务档案管理的相关规定。</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方应当真实、详尽和及时地向乙方律师陈述案情，提供与委托事务有关的全部证据、文件及其他事实材料，并对证据材料的真实性、合法性负责。若甲方不如实陈述案情，或隐瞒、伪造证据及相关材料，或不及时提供证据及相关材料等，由此产生的一切法律后果及给乙方造成的损失由甲方承担。</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甲方应当积极、主动地配合乙方律师的工作，对乙方律师提出的要求应当明确、合理。</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甲乙双方约定以本条第</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项方式收取风险代理律师服务费：</w:t>
      </w:r>
    </w:p>
    <w:p>
      <w:pPr>
        <w:pStyle w:val="23"/>
        <w:adjustRightInd w:val="0"/>
        <w:snapToGrid w:val="0"/>
        <w:spacing w:line="54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（一）有基础费用。基础费用为：</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元整（￥</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）。甲方应于</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支付给乙方；风险费用：风险费用的金额/计算方式为</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甲方应在实现本合同第三条目标/效果后</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支付给乙方。</w:t>
      </w:r>
    </w:p>
    <w:p>
      <w:pPr>
        <w:pStyle w:val="23"/>
        <w:adjustRightInd w:val="0"/>
        <w:snapToGrid w:val="0"/>
        <w:spacing w:line="54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pacing w:val="-6"/>
          <w:sz w:val="32"/>
          <w:szCs w:val="32"/>
          <w14:textFill>
            <w14:solidFill>
              <w14:schemeClr w14:val="tx1"/>
            </w14:solidFill>
          </w14:textFill>
        </w:rPr>
        <w:t>无基础费用。风险费用：风险费用的金额/计算方式为</w:t>
      </w:r>
      <w:r>
        <w:rPr>
          <w:rFonts w:ascii="Times New Roman" w:hAnsi="Times New Roman" w:eastAsia="仿宋" w:cs="Times New Roman"/>
          <w:color w:val="000000" w:themeColor="text1"/>
          <w:spacing w:val="-6"/>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甲方应在实现本合同第三条目标/效果后</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支付给乙方。</w:t>
      </w:r>
    </w:p>
    <w:p>
      <w:pPr>
        <w:pStyle w:val="23"/>
        <w:adjustRightInd w:val="0"/>
        <w:snapToGrid w:val="0"/>
        <w:spacing w:line="54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前款所约定的基础费用独立于风险费用，无论委托目标或者效果是否达到，甲方均应当支付基础费用。在支付风险费用时，不能/可以（双方约定）以基础费用抵扣风险费用。但是，当本合同约定的委托目标或者效果已经达到时，基础费用和风险费用的总和不得超过《签订风险代理委托合同告知书》所列的最高收费金额限制。</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乙方提供了本合同约定的法律服务，且合同约定的/希望达到的委托目标或者效果已经达到时，甲乙双方应根据委托目标或效果达成情况和本合同约定进行风险代理律师服务费用结算。</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乙方的收款账户信息如下：</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（一）开户银行：</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（二）户名：</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（三）账号：</w:t>
      </w:r>
    </w:p>
    <w:p>
      <w:pPr>
        <w:adjustRightInd w:val="0"/>
        <w:snapToGrid w:val="0"/>
        <w:spacing w:line="54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对于任何私人间的支付，乙方均不予承认。乙方收到律师服务费后，应当及时开具相应数额的发票。</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乙方律师办理甲方委托的事务所产生的下列费用，应当由甲方另行支付：</w:t>
      </w:r>
    </w:p>
    <w:p>
      <w:pPr>
        <w:pStyle w:val="2"/>
        <w:adjustRightInd w:val="0"/>
        <w:snapToGrid w:val="0"/>
        <w:spacing w:after="0" w:line="540" w:lineRule="exact"/>
        <w:ind w:firstLine="616"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（一）相关行政、司法、鉴定、公证及其他专业机构等第三方收取的费用；</w:t>
      </w:r>
    </w:p>
    <w:p>
      <w:pPr>
        <w:pStyle w:val="23"/>
        <w:adjustRightInd w:val="0"/>
        <w:snapToGrid w:val="0"/>
        <w:spacing w:line="540" w:lineRule="exact"/>
        <w:ind w:firstLine="616"/>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pacing w:val="-6"/>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异地（本市行政区域外）办案差旅费；</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（三）征得甲方同意后支付的其他费用。</w:t>
      </w:r>
    </w:p>
    <w:p>
      <w:pPr>
        <w:pStyle w:val="23"/>
        <w:adjustRightInd w:val="0"/>
        <w:snapToGrid w:val="0"/>
        <w:spacing w:line="540" w:lineRule="exact"/>
        <w:ind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委托期限届满或委托事务结束时，乙方应当向甲方提供律师服务收费清单，包括律师服务费、代甲方支付的费用及异地办案差旅费，其中代甲方支付的费用及异地办案差旅费应当提供有效凭证。</w:t>
      </w:r>
    </w:p>
    <w:p>
      <w:pPr>
        <w:pStyle w:val="23"/>
        <w:numPr>
          <w:ilvl w:val="0"/>
          <w:numId w:val="2"/>
        </w:numPr>
        <w:adjustRightInd w:val="0"/>
        <w:snapToGrid w:val="0"/>
        <w:spacing w:line="540" w:lineRule="exact"/>
        <w:ind w:left="0"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乙方在签订本合同之前已向甲方解释了风险代理收费规定及标准。在本合同签署之前，乙方已将合同文本提供给甲方并向甲方进行了风险提示及说明，甲方清楚本合同所有条款内容的含义及可能产生的后果。甲方对本合同的所有疑问及异议均已在签署之前与乙方协商并得到解决。</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乙方无正当理由不提供本合同约定的法律服务或者违反己方义务，甲方有权要求乙方退还部分或者全部已付的律师服务费。但甲方不得以如下理由要求乙方退费：</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（一）甲方就已委托乙方代理的事务单方面另行委托其他律师事务所的律师代理或者提供服务的；</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（二）乙方接受委托后，甲方以乙方收费过高或其他不正当理由为由要求退费的；</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（三）乙方接受诉讼（或仲裁）事务的委托后，案件未经法院、仲裁机构开庭或者判决、裁决，案件提起方（包括甲方）撤诉（或撤回仲裁申请）或者双方和解的；</w:t>
      </w:r>
    </w:p>
    <w:p>
      <w:pPr>
        <w:pStyle w:val="23"/>
        <w:adjustRightInd w:val="0"/>
        <w:snapToGrid w:val="0"/>
        <w:spacing w:line="540" w:lineRule="exact"/>
        <w:ind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（四）其他非因乙方或者乙方律师的过错，甲方不合理地单方解除本合同的。</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甲方有权自主行使委托事项中的上诉、撤诉、调解、和解等权利，乙方不得排除或者限制甲方行使上述权利，不得对甲方行使上述权利设置惩罚性赔偿等不合理的条件。</w:t>
      </w:r>
    </w:p>
    <w:p>
      <w:pPr>
        <w:pStyle w:val="23"/>
        <w:adjustRightInd w:val="0"/>
        <w:snapToGrid w:val="0"/>
        <w:spacing w:line="540" w:lineRule="exact"/>
        <w:ind w:firstLine="64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双方可以约定甲方行使以上权利时就律师服务费用事宜与乙方重新协商，如双方未能重新协商达成一致意见的，按本合同约定的争议解决方式处理。</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方未按本合同约定支付律师服务费及其他费用的，乙方有权中止履行本合同，暂停为甲方办理委托事务，因此而造成未按时开庭及其他法律规定或者法院、仲裁机构指定的期限延误等后果，由甲方自行承担，乙方对此不承担责任。</w:t>
      </w:r>
    </w:p>
    <w:p>
      <w:pPr>
        <w:pStyle w:val="23"/>
        <w:numPr>
          <w:ilvl w:val="0"/>
          <w:numId w:val="2"/>
        </w:numPr>
        <w:adjustRightInd w:val="0"/>
        <w:snapToGrid w:val="0"/>
        <w:spacing w:line="540" w:lineRule="exact"/>
        <w:ind w:left="0"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甲乙双方如果发生争议，应当友好协商解决。协商不成的，双方可以提请乙方所在的</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市律师协会进行调解。双方也可以选择采用如下争议解决方式：</w:t>
      </w:r>
    </w:p>
    <w:p>
      <w:pPr>
        <w:pStyle w:val="23"/>
        <w:adjustRightInd w:val="0"/>
        <w:snapToGrid w:val="0"/>
        <w:spacing w:line="54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（一）提交</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仲裁委员会，按照提交仲裁时该会现行有效的仲裁规则进行仲裁。仲裁裁决是终局的，对甲乙双方均有约束力。</w:t>
      </w:r>
    </w:p>
    <w:p>
      <w:pPr>
        <w:pStyle w:val="23"/>
        <w:adjustRightInd w:val="0"/>
        <w:snapToGrid w:val="0"/>
        <w:spacing w:line="540" w:lineRule="exact"/>
        <w:ind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（二）双方同意向</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地人民法院提起诉讼。</w:t>
      </w:r>
    </w:p>
    <w:p>
      <w:pPr>
        <w:pStyle w:val="23"/>
        <w:numPr>
          <w:ilvl w:val="0"/>
          <w:numId w:val="2"/>
        </w:numPr>
        <w:adjustRightInd w:val="0"/>
        <w:snapToGrid w:val="0"/>
        <w:spacing w:line="540" w:lineRule="exact"/>
        <w:ind w:left="0"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签订风险代理委托合同告知书》是本合同不可分割的组成部分。乙方通过提供《签订风险代理委托合同告知书》已就风险代理的含义、禁止适用风险代理案件范围、风险代理最高收费金额的限制、委托的法律服务事项可能发生的风险、双方各自承担的风险和责任等事宜进行告知、提示。甲方已充分了解《签订风险代理委托合同告知书》中所告知、提示的全部内容，否则双方应拒绝签订本合同。</w:t>
      </w:r>
    </w:p>
    <w:p>
      <w:pPr>
        <w:pStyle w:val="23"/>
        <w:numPr>
          <w:ilvl w:val="0"/>
          <w:numId w:val="2"/>
        </w:numPr>
        <w:adjustRightInd w:val="0"/>
        <w:snapToGrid w:val="0"/>
        <w:spacing w:line="540" w:lineRule="exact"/>
        <w:ind w:left="0" w:firstLine="640"/>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本合同一式两份，甲乙双方各执一份。本合同自甲乙双方签字或者盖章之日起成立并生效，至乙方律师完成本合同约定的法律服务或者本合同解除时终止。</w:t>
      </w:r>
    </w:p>
    <w:p>
      <w:pPr>
        <w:pStyle w:val="23"/>
        <w:numPr>
          <w:ilvl w:val="0"/>
          <w:numId w:val="2"/>
        </w:numPr>
        <w:adjustRightInd w:val="0"/>
        <w:snapToGrid w:val="0"/>
        <w:spacing w:line="540" w:lineRule="exact"/>
        <w:ind w:left="0" w:firstLine="640"/>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其他特别约定事项：</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w:t>
      </w:r>
    </w:p>
    <w:p>
      <w:pPr>
        <w:pStyle w:val="23"/>
        <w:adjustRightInd w:val="0"/>
        <w:snapToGrid w:val="0"/>
        <w:spacing w:line="540" w:lineRule="exact"/>
        <w:ind w:firstLine="640"/>
        <w:rPr>
          <w:rFonts w:hint="eastAsia" w:ascii="仿宋_GB2312" w:hAnsi="Times New Roman" w:eastAsia="仿宋_GB2312" w:cs="Times New Roman"/>
          <w:color w:val="000000" w:themeColor="text1"/>
          <w:sz w:val="32"/>
          <w:szCs w:val="32"/>
          <w14:textFill>
            <w14:solidFill>
              <w14:schemeClr w14:val="tx1"/>
            </w14:solidFill>
          </w14:textFill>
        </w:rPr>
      </w:pPr>
    </w:p>
    <w:p>
      <w:pPr>
        <w:tabs>
          <w:tab w:val="left" w:pos="4253"/>
        </w:tabs>
        <w:adjustRightInd w:val="0"/>
        <w:snapToGrid w:val="0"/>
        <w:spacing w:line="540" w:lineRule="exact"/>
        <w:ind w:firstLine="640" w:firstLineChars="200"/>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甲方（签名或盖章）：</w:t>
      </w:r>
      <w:r>
        <w:rPr>
          <w:rFonts w:hint="eastAsia" w:ascii="仿宋_GB2312" w:hAnsi="Times New Roman" w:eastAsia="仿宋_GB2312"/>
          <w:color w:val="000000" w:themeColor="text1"/>
          <w:sz w:val="32"/>
          <w:szCs w:val="32"/>
          <w14:textFill>
            <w14:solidFill>
              <w14:schemeClr w14:val="tx1"/>
            </w14:solidFill>
          </w14:textFill>
        </w:rPr>
        <w:tab/>
      </w:r>
      <w:r>
        <w:rPr>
          <w:rFonts w:hint="eastAsia" w:ascii="仿宋_GB2312" w:hAnsi="Times New Roman" w:eastAsia="仿宋_GB2312"/>
          <w:color w:val="000000" w:themeColor="text1"/>
          <w:sz w:val="32"/>
          <w:szCs w:val="32"/>
          <w14:textFill>
            <w14:solidFill>
              <w14:schemeClr w14:val="tx1"/>
            </w14:solidFill>
          </w14:textFill>
        </w:rPr>
        <w:tab/>
      </w:r>
      <w:r>
        <w:rPr>
          <w:rFonts w:hint="eastAsia" w:ascii="仿宋_GB2312" w:hAnsi="Times New Roman" w:eastAsia="仿宋_GB2312"/>
          <w:color w:val="000000" w:themeColor="text1"/>
          <w:sz w:val="32"/>
          <w:szCs w:val="32"/>
          <w14:textFill>
            <w14:solidFill>
              <w14:schemeClr w14:val="tx1"/>
            </w14:solidFill>
          </w14:textFill>
        </w:rPr>
        <w:t>乙方（盖章）：</w:t>
      </w:r>
    </w:p>
    <w:p>
      <w:pPr>
        <w:pStyle w:val="2"/>
        <w:adjustRightInd w:val="0"/>
        <w:snapToGrid w:val="0"/>
        <w:spacing w:after="0" w:line="540" w:lineRule="exact"/>
        <w:ind w:firstLine="640" w:firstLineChars="200"/>
        <w:rPr>
          <w:rFonts w:hint="eastAsia" w:ascii="仿宋_GB2312" w:hAnsi="Times New Roman" w:eastAsia="仿宋_GB2312"/>
          <w:color w:val="000000" w:themeColor="text1"/>
          <w:sz w:val="32"/>
          <w:szCs w:val="32"/>
          <w14:textFill>
            <w14:solidFill>
              <w14:schemeClr w14:val="tx1"/>
            </w14:solidFill>
          </w14:textFill>
        </w:rPr>
      </w:pPr>
    </w:p>
    <w:p>
      <w:pPr>
        <w:tabs>
          <w:tab w:val="left" w:pos="4253"/>
        </w:tabs>
        <w:adjustRightInd w:val="0"/>
        <w:snapToGrid w:val="0"/>
        <w:spacing w:line="540" w:lineRule="exact"/>
        <w:ind w:firstLine="640" w:firstLineChars="200"/>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签订时间：</w:t>
      </w:r>
      <w:r>
        <w:rPr>
          <w:rFonts w:hint="eastAsia" w:ascii="仿宋_GB2312" w:hAnsi="Times New Roman" w:eastAsia="仿宋_GB2312"/>
          <w:color w:val="000000" w:themeColor="text1"/>
          <w:sz w:val="32"/>
          <w:szCs w:val="32"/>
          <w14:textFill>
            <w14:solidFill>
              <w14:schemeClr w14:val="tx1"/>
            </w14:solidFill>
          </w14:textFill>
        </w:rPr>
        <w:tab/>
      </w:r>
      <w:r>
        <w:rPr>
          <w:rFonts w:hint="eastAsia" w:ascii="仿宋_GB2312" w:hAnsi="Times New Roman" w:eastAsia="仿宋_GB2312"/>
          <w:color w:val="000000" w:themeColor="text1"/>
          <w:sz w:val="32"/>
          <w:szCs w:val="32"/>
          <w14:textFill>
            <w14:solidFill>
              <w14:schemeClr w14:val="tx1"/>
            </w14:solidFill>
          </w14:textFill>
        </w:rPr>
        <w:tab/>
      </w:r>
      <w:r>
        <w:rPr>
          <w:rFonts w:hint="eastAsia" w:ascii="仿宋_GB2312" w:hAnsi="Times New Roman" w:eastAsia="仿宋_GB2312"/>
          <w:color w:val="000000" w:themeColor="text1"/>
          <w:sz w:val="32"/>
          <w:szCs w:val="32"/>
          <w14:textFill>
            <w14:solidFill>
              <w14:schemeClr w14:val="tx1"/>
            </w14:solidFill>
          </w14:textFill>
        </w:rPr>
        <w:t>签订时间：</w:t>
      </w:r>
    </w:p>
    <w:sectPr>
      <w:headerReference r:id="rId3" w:type="default"/>
      <w:footerReference r:id="rId4" w:type="default"/>
      <w:footerReference r:id="rId5" w:type="even"/>
      <w:pgSz w:w="11906" w:h="16838"/>
      <w:pgMar w:top="1985" w:right="1531" w:bottom="1701" w:left="153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AA3BDED-4CD5-4806-B0F5-A8A1ABA7DD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EC9C510-BDD8-4EBC-95F2-CC9E455D5AE9}"/>
  </w:font>
  <w:font w:name="仿宋_GB2312">
    <w:panose1 w:val="02010609030101010101"/>
    <w:charset w:val="86"/>
    <w:family w:val="modern"/>
    <w:pitch w:val="default"/>
    <w:sig w:usb0="00000001" w:usb1="080E0000" w:usb2="00000000" w:usb3="00000000" w:csb0="00040000" w:csb1="00000000"/>
    <w:embedRegular r:id="rId3" w:fontKey="{1844DAC3-D275-4400-8493-17A843C85553}"/>
  </w:font>
  <w:font w:name="方正小标宋简体">
    <w:panose1 w:val="02010601030101010101"/>
    <w:charset w:val="86"/>
    <w:family w:val="script"/>
    <w:pitch w:val="default"/>
    <w:sig w:usb0="00000001" w:usb1="080E0000" w:usb2="00000000" w:usb3="00000000" w:csb0="00040000" w:csb1="00000000"/>
    <w:embedRegular r:id="rId4" w:fontKey="{522E19C1-8067-4798-8513-3FB8B0C17B14}"/>
  </w:font>
  <w:font w:name="楷体_GB2312">
    <w:panose1 w:val="02010609030101010101"/>
    <w:charset w:val="86"/>
    <w:family w:val="modern"/>
    <w:pitch w:val="default"/>
    <w:sig w:usb0="00000001" w:usb1="080E0000" w:usb2="00000000" w:usb3="00000000" w:csb0="00040000" w:csb1="00000000"/>
    <w:embedRegular r:id="rId5" w:fontKey="{612A9B56-1918-477B-BA72-14B5344505E4}"/>
  </w:font>
  <w:font w:name="楷体">
    <w:panose1 w:val="02010609060101010101"/>
    <w:charset w:val="86"/>
    <w:family w:val="modern"/>
    <w:pitch w:val="default"/>
    <w:sig w:usb0="800002BF" w:usb1="38CF7CFA" w:usb2="00000016" w:usb3="00000000" w:csb0="00040001" w:csb1="00000000"/>
    <w:embedRegular r:id="rId6" w:fontKey="{C5E2989E-11CC-442F-A8AF-F297D6B4D02A}"/>
  </w:font>
  <w:font w:name="仿宋">
    <w:panose1 w:val="02010609060101010101"/>
    <w:charset w:val="86"/>
    <w:family w:val="modern"/>
    <w:pitch w:val="default"/>
    <w:sig w:usb0="800002BF" w:usb1="38CF7CFA" w:usb2="00000016" w:usb3="00000000" w:csb0="00040001" w:csb1="00000000"/>
    <w:embedRegular r:id="rId7" w:fontKey="{A0E0A95B-7804-4359-A4B6-6E68C8B279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8"/>
        <w:szCs w:val="28"/>
      </w:rPr>
    </w:pPr>
    <w:r>
      <w:rPr>
        <w:rFonts w:hint="eastAsia" w:ascii="Times New Roman" w:hAnsi="Times New Roman"/>
        <w:sz w:val="28"/>
        <w:szCs w:val="28"/>
      </w:rPr>
      <w:t xml:space="preserve">— </w:t>
    </w:r>
    <w:sdt>
      <w:sdtPr>
        <w:rPr>
          <w:rFonts w:ascii="Times New Roman" w:hAnsi="Times New Roman"/>
          <w:sz w:val="28"/>
          <w:szCs w:val="28"/>
        </w:rPr>
        <w:id w:val="31232867"/>
        <w:docPartObj>
          <w:docPartGallery w:val="autotext"/>
        </w:docPartObj>
      </w:sdtPr>
      <w:sdtEndPr>
        <w:rPr>
          <w:rFonts w:ascii="Times New Roman" w:hAnsi="Times New Roman"/>
          <w:sz w:val="28"/>
          <w:szCs w:val="28"/>
        </w:rPr>
      </w:sdtEndPr>
      <w:sdtContent>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33</w:t>
        </w:r>
        <w:r>
          <w:rPr>
            <w:rFonts w:ascii="Times New Roman" w:hAnsi="Times New Roman"/>
            <w:sz w:val="28"/>
            <w:szCs w:val="28"/>
          </w:rPr>
          <w:fldChar w:fldCharType="end"/>
        </w:r>
        <w:r>
          <w:rPr>
            <w:rFonts w:hint="eastAsia" w:ascii="Times New Roman" w:hAnsi="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sz w:val="28"/>
        <w:szCs w:val="28"/>
      </w:rPr>
    </w:pPr>
    <w:r>
      <w:rPr>
        <w:rFonts w:hint="eastAsia" w:ascii="Times New Roman" w:hAnsi="Times New Roman"/>
        <w:sz w:val="28"/>
        <w:szCs w:val="28"/>
      </w:rPr>
      <w:t xml:space="preserve">— </w:t>
    </w:r>
    <w:sdt>
      <w:sdtPr>
        <w:rPr>
          <w:rFonts w:ascii="Times New Roman" w:hAnsi="Times New Roman"/>
          <w:sz w:val="28"/>
          <w:szCs w:val="28"/>
        </w:rPr>
        <w:id w:val="31232879"/>
        <w:docPartObj>
          <w:docPartGallery w:val="autotext"/>
        </w:docPartObj>
      </w:sdtPr>
      <w:sdtEndPr>
        <w:rPr>
          <w:rFonts w:ascii="Times New Roman" w:hAnsi="Times New Roman"/>
          <w:sz w:val="28"/>
          <w:szCs w:val="28"/>
        </w:rPr>
      </w:sdtEndPr>
      <w:sdtContent>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32</w:t>
        </w:r>
        <w:r>
          <w:rPr>
            <w:rFonts w:ascii="Times New Roman" w:hAnsi="Times New Roman"/>
            <w:sz w:val="28"/>
            <w:szCs w:val="28"/>
          </w:rPr>
          <w:fldChar w:fldCharType="end"/>
        </w:r>
        <w:r>
          <w:rPr>
            <w:rFonts w:hint="eastAsia" w:ascii="Times New Roman" w:hAnsi="Times New Roman"/>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B5A37"/>
    <w:multiLevelType w:val="multilevel"/>
    <w:tmpl w:val="255B5A37"/>
    <w:lvl w:ilvl="0" w:tentative="0">
      <w:start w:val="1"/>
      <w:numFmt w:val="japaneseCounting"/>
      <w:lvlText w:val="第%1条"/>
      <w:lvlJc w:val="left"/>
      <w:pPr>
        <w:ind w:left="1640" w:hanging="1080"/>
      </w:pPr>
      <w:rPr>
        <w:rFonts w:hint="eastAsia" w:ascii="仿宋_GB2312" w:hAnsi="黑体" w:eastAsia="仿宋_GB2312" w:cs="黑体"/>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A50DEEB"/>
    <w:multiLevelType w:val="singleLevel"/>
    <w:tmpl w:val="4A50DEEB"/>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F568F85-4D79-4541-B17E-A21662AA482F}" w:val="9GbJ/ZsURX3SzYqtDkWnoi5KadTw7HVp1mxBE8+yCIjOAce4v=L0MQPfNl2hg6rFu"/>
    <w:docVar w:name="commondata" w:val="eyJoZGlkIjoiN2YzNjBkOTgyNWQ1YTMxYzM3MzMwNWFiODNmOWIzYWMifQ=="/>
    <w:docVar w:name="DocumentID" w:val="{F34DCAA9-1764-461C-A080-E4DC6B66FACE}"/>
  </w:docVars>
  <w:rsids>
    <w:rsidRoot w:val="00172A27"/>
    <w:rsid w:val="00155F98"/>
    <w:rsid w:val="00172A27"/>
    <w:rsid w:val="0026463E"/>
    <w:rsid w:val="006414BC"/>
    <w:rsid w:val="00660299"/>
    <w:rsid w:val="00683AA7"/>
    <w:rsid w:val="006970E6"/>
    <w:rsid w:val="00707CD7"/>
    <w:rsid w:val="00A159AF"/>
    <w:rsid w:val="00B042CD"/>
    <w:rsid w:val="00B363F2"/>
    <w:rsid w:val="00E20B3F"/>
    <w:rsid w:val="00EE4467"/>
    <w:rsid w:val="00F760A5"/>
    <w:rsid w:val="048674D1"/>
    <w:rsid w:val="0CD31B45"/>
    <w:rsid w:val="5DB22FE1"/>
    <w:rsid w:val="68F171E0"/>
    <w:rsid w:val="6CCC24D7"/>
    <w:rsid w:val="79CA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unhideWhenUsed/>
    <w:qFormat/>
    <w:uiPriority w:val="99"/>
    <w:pPr>
      <w:spacing w:after="120"/>
    </w:pPr>
  </w:style>
  <w:style w:type="paragraph" w:styleId="3">
    <w:name w:val="Body Text Indent"/>
    <w:basedOn w:val="1"/>
    <w:link w:val="16"/>
    <w:semiHidden/>
    <w:unhideWhenUsed/>
    <w:qFormat/>
    <w:uiPriority w:val="99"/>
    <w:pPr>
      <w:spacing w:after="120"/>
      <w:ind w:left="420" w:leftChars="200"/>
    </w:pPr>
  </w:style>
  <w:style w:type="paragraph" w:styleId="4">
    <w:name w:val="Date"/>
    <w:basedOn w:val="1"/>
    <w:next w:val="1"/>
    <w:link w:val="24"/>
    <w:semiHidden/>
    <w:unhideWhenUsed/>
    <w:qFormat/>
    <w:uiPriority w:val="99"/>
    <w:pPr>
      <w:ind w:left="100" w:leftChars="2500"/>
    </w:p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next w:val="1"/>
    <w:link w:val="17"/>
    <w:unhideWhenUsed/>
    <w:qFormat/>
    <w:uiPriority w:val="99"/>
    <w:pPr>
      <w:ind w:left="200" w:firstLine="420" w:firstLineChars="200"/>
      <w:jc w:val="left"/>
    </w:pPr>
    <w:rPr>
      <w:rFonts w:ascii="Times New Roman" w:hAnsi="Times New Roman" w:eastAsia="仿宋_GB2312"/>
      <w:color w:val="000000"/>
      <w:kern w:val="0"/>
      <w:sz w:val="32"/>
      <w:szCs w:val="24"/>
      <w:lang w:eastAsia="en-US" w:bidi="en-US"/>
    </w:rPr>
  </w:style>
  <w:style w:type="character" w:styleId="11">
    <w:name w:val="page number"/>
    <w:basedOn w:val="10"/>
    <w:qFormat/>
    <w:uiPriority w:val="0"/>
  </w:style>
  <w:style w:type="character" w:customStyle="1" w:styleId="12">
    <w:name w:val="apple-converted-space"/>
    <w:basedOn w:val="10"/>
    <w:qFormat/>
    <w:uiPriority w:val="0"/>
  </w:style>
  <w:style w:type="character" w:customStyle="1" w:styleId="13">
    <w:name w:val="页眉 Char"/>
    <w:basedOn w:val="10"/>
    <w:link w:val="6"/>
    <w:qFormat/>
    <w:uiPriority w:val="0"/>
    <w:rPr>
      <w:kern w:val="2"/>
      <w:sz w:val="18"/>
      <w:szCs w:val="18"/>
    </w:rPr>
  </w:style>
  <w:style w:type="character" w:customStyle="1" w:styleId="14">
    <w:name w:val="页脚 Char"/>
    <w:basedOn w:val="10"/>
    <w:link w:val="5"/>
    <w:qFormat/>
    <w:uiPriority w:val="99"/>
    <w:rPr>
      <w:kern w:val="2"/>
      <w:sz w:val="18"/>
      <w:szCs w:val="18"/>
    </w:rPr>
  </w:style>
  <w:style w:type="paragraph" w:styleId="15">
    <w:name w:val="List Paragraph"/>
    <w:basedOn w:val="1"/>
    <w:qFormat/>
    <w:uiPriority w:val="0"/>
    <w:pPr>
      <w:ind w:firstLine="420" w:firstLineChars="200"/>
    </w:pPr>
  </w:style>
  <w:style w:type="character" w:customStyle="1" w:styleId="16">
    <w:name w:val="正文文本缩进 Char"/>
    <w:basedOn w:val="10"/>
    <w:link w:val="3"/>
    <w:semiHidden/>
    <w:qFormat/>
    <w:uiPriority w:val="99"/>
    <w:rPr>
      <w:kern w:val="2"/>
      <w:sz w:val="21"/>
      <w:szCs w:val="22"/>
    </w:rPr>
  </w:style>
  <w:style w:type="character" w:customStyle="1" w:styleId="17">
    <w:name w:val="正文首行缩进 2 Char"/>
    <w:basedOn w:val="16"/>
    <w:link w:val="8"/>
    <w:qFormat/>
    <w:uiPriority w:val="99"/>
    <w:rPr>
      <w:rFonts w:ascii="Times New Roman" w:hAnsi="Times New Roman" w:eastAsia="仿宋_GB2312"/>
      <w:color w:val="000000"/>
      <w:sz w:val="32"/>
      <w:szCs w:val="24"/>
      <w:lang w:eastAsia="en-US" w:bidi="en-US"/>
    </w:rPr>
  </w:style>
  <w:style w:type="character" w:customStyle="1" w:styleId="18">
    <w:name w:val="Heading #2|1_"/>
    <w:basedOn w:val="10"/>
    <w:link w:val="19"/>
    <w:qFormat/>
    <w:uiPriority w:val="0"/>
    <w:rPr>
      <w:rFonts w:ascii="宋体" w:hAnsi="宋体" w:cs="宋体"/>
      <w:sz w:val="42"/>
      <w:szCs w:val="42"/>
      <w:lang w:val="zh-TW" w:eastAsia="zh-TW" w:bidi="zh-TW"/>
    </w:rPr>
  </w:style>
  <w:style w:type="paragraph" w:customStyle="1" w:styleId="19">
    <w:name w:val="Heading #2|1"/>
    <w:basedOn w:val="1"/>
    <w:link w:val="18"/>
    <w:qFormat/>
    <w:uiPriority w:val="0"/>
    <w:pPr>
      <w:spacing w:line="802" w:lineRule="exact"/>
      <w:ind w:firstLine="1400"/>
      <w:jc w:val="left"/>
      <w:outlineLvl w:val="1"/>
    </w:pPr>
    <w:rPr>
      <w:rFonts w:ascii="宋体" w:hAnsi="宋体" w:cs="宋体"/>
      <w:kern w:val="0"/>
      <w:sz w:val="42"/>
      <w:szCs w:val="42"/>
      <w:lang w:val="zh-TW" w:eastAsia="zh-TW" w:bidi="zh-TW"/>
    </w:rPr>
  </w:style>
  <w:style w:type="character" w:customStyle="1" w:styleId="20">
    <w:name w:val="正文文本 Char"/>
    <w:basedOn w:val="10"/>
    <w:link w:val="2"/>
    <w:qFormat/>
    <w:uiPriority w:val="99"/>
    <w:rPr>
      <w:kern w:val="2"/>
      <w:sz w:val="21"/>
      <w:szCs w:val="22"/>
    </w:rPr>
  </w:style>
  <w:style w:type="paragraph" w:customStyle="1" w:styleId="21">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2">
    <w:name w:val="列表段落11"/>
    <w:basedOn w:val="1"/>
    <w:qFormat/>
    <w:uiPriority w:val="34"/>
    <w:pPr>
      <w:ind w:firstLine="420" w:firstLineChars="200"/>
    </w:pPr>
    <w:rPr>
      <w:rFonts w:asciiTheme="minorHAnsi" w:hAnsiTheme="minorHAnsi" w:eastAsiaTheme="minorEastAsia" w:cstheme="minorBidi"/>
      <w:szCs w:val="24"/>
    </w:rPr>
  </w:style>
  <w:style w:type="paragraph" w:customStyle="1" w:styleId="23">
    <w:name w:val="列表段落1"/>
    <w:basedOn w:val="1"/>
    <w:qFormat/>
    <w:uiPriority w:val="34"/>
    <w:pPr>
      <w:ind w:firstLine="420" w:firstLineChars="200"/>
    </w:pPr>
    <w:rPr>
      <w:rFonts w:asciiTheme="minorHAnsi" w:hAnsiTheme="minorHAnsi" w:eastAsiaTheme="minorEastAsia" w:cstheme="minorBidi"/>
      <w:szCs w:val="24"/>
    </w:rPr>
  </w:style>
  <w:style w:type="character" w:customStyle="1" w:styleId="24">
    <w:name w:val="日期 Char"/>
    <w:basedOn w:val="10"/>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13851</Words>
  <Characters>1321</Characters>
  <Lines>11</Lines>
  <Paragraphs>30</Paragraphs>
  <TotalTime>445</TotalTime>
  <ScaleCrop>false</ScaleCrop>
  <LinksUpToDate>false</LinksUpToDate>
  <CharactersWithSpaces>15142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2023-07-03T10:29:00Z</dcterms:created>
  <dc:creator>刘在军</dc:creator>
  <cp:lastModifiedBy>王新</cp:lastModifiedBy>
  <cp:lastPrinted>2022-05-06T03:53:00Z</cp:lastPrinted>
  <dcterms:modified xsi:type="dcterms:W3CDTF">2023-11-07T09:48:50Z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81C5C05EBE634E708BC1FBD2F7C95C00_13</vt:lpwstr>
  </property>
</Properties>
</file>