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AB3D5">
      <w:pPr>
        <w:spacing w:line="120" w:lineRule="auto"/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附件2</w:t>
      </w:r>
    </w:p>
    <w:p w14:paraId="7AFEB840">
      <w:pPr>
        <w:spacing w:line="120" w:lineRule="auto"/>
        <w:ind w:left="472" w:hanging="471" w:hangingChars="131"/>
        <w:jc w:val="center"/>
        <w:rPr>
          <w:rFonts w:ascii="方正小标宋简体" w:hAnsi="宋体" w:eastAsia="方正小标宋简体" w:cs="方正小标宋简体"/>
          <w:bCs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bCs/>
          <w:sz w:val="36"/>
          <w:szCs w:val="36"/>
          <w:lang w:bidi="ar"/>
        </w:rPr>
        <w:t>论文（成果）</w:t>
      </w:r>
      <w:bookmarkEnd w:id="0"/>
      <w:r>
        <w:rPr>
          <w:rFonts w:hint="eastAsia" w:ascii="方正小标宋简体" w:hAnsi="宋体" w:eastAsia="方正小标宋简体" w:cs="方正小标宋简体"/>
          <w:bCs/>
          <w:sz w:val="36"/>
          <w:szCs w:val="36"/>
          <w:lang w:bidi="ar"/>
        </w:rPr>
        <w:t>主题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259"/>
      </w:tblGrid>
      <w:tr w14:paraId="142F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7EAC459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1. 战略与高层领导者作用</w:t>
            </w:r>
          </w:p>
        </w:tc>
        <w:tc>
          <w:tcPr>
            <w:tcW w:w="4396" w:type="dxa"/>
            <w:noWrap w:val="0"/>
            <w:vAlign w:val="top"/>
          </w:tcPr>
          <w:p w14:paraId="3BA00D3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6. 人才培养与组织文化建设</w:t>
            </w:r>
          </w:p>
        </w:tc>
      </w:tr>
      <w:tr w14:paraId="4817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250A5E7F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经营战略</w:t>
            </w:r>
          </w:p>
          <w:p w14:paraId="388D09C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领导力</w:t>
            </w:r>
          </w:p>
          <w:p w14:paraId="37803009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经营质量（大质量）理念</w:t>
            </w:r>
          </w:p>
          <w:p w14:paraId="09291D77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创造客户价值和社会价值</w:t>
            </w:r>
          </w:p>
          <w:p w14:paraId="09AB03C6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方针管理</w:t>
            </w:r>
          </w:p>
        </w:tc>
        <w:tc>
          <w:tcPr>
            <w:tcW w:w="4396" w:type="dxa"/>
            <w:noWrap w:val="0"/>
            <w:vAlign w:val="top"/>
          </w:tcPr>
          <w:p w14:paraId="3A4B131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人力资本管理</w:t>
            </w:r>
          </w:p>
          <w:p w14:paraId="47DCBBCD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人力开发</w:t>
            </w:r>
          </w:p>
          <w:p w14:paraId="73D44467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质量教育/知识管理/学校教育</w:t>
            </w:r>
          </w:p>
        </w:tc>
      </w:tr>
      <w:tr w14:paraId="4D4C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3916E9AC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2. 质量管理小组成果分享</w:t>
            </w:r>
          </w:p>
        </w:tc>
        <w:tc>
          <w:tcPr>
            <w:tcW w:w="4396" w:type="dxa"/>
            <w:noWrap w:val="0"/>
            <w:vAlign w:val="top"/>
          </w:tcPr>
          <w:p w14:paraId="2E6605AE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7. 供应链与风险管理</w:t>
            </w:r>
          </w:p>
        </w:tc>
      </w:tr>
      <w:tr w14:paraId="3944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79C4862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改进案例研究</w:t>
            </w:r>
          </w:p>
          <w:p w14:paraId="67577BEF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推广案例研究</w:t>
            </w:r>
          </w:p>
        </w:tc>
        <w:tc>
          <w:tcPr>
            <w:tcW w:w="4396" w:type="dxa"/>
            <w:noWrap w:val="0"/>
            <w:vAlign w:val="top"/>
          </w:tcPr>
          <w:p w14:paraId="642495CD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价值链管理</w:t>
            </w:r>
          </w:p>
          <w:p w14:paraId="1169336E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供应链风险/关系管理</w:t>
            </w:r>
          </w:p>
          <w:p w14:paraId="43FEC762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风险管理</w:t>
            </w:r>
          </w:p>
          <w:p w14:paraId="44CE65FF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业务连续性规划（BCP）</w:t>
            </w:r>
          </w:p>
        </w:tc>
      </w:tr>
      <w:tr w14:paraId="14C3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7A0B67BD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3. 全面质量管理方法：流程改进和优化</w:t>
            </w:r>
          </w:p>
        </w:tc>
        <w:tc>
          <w:tcPr>
            <w:tcW w:w="4396" w:type="dxa"/>
            <w:noWrap w:val="0"/>
            <w:vAlign w:val="top"/>
          </w:tcPr>
          <w:p w14:paraId="5BDD054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8. 组织能力建设和管理</w:t>
            </w:r>
          </w:p>
        </w:tc>
      </w:tr>
      <w:tr w14:paraId="385F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6EFBC9DD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问题解决与改进活动（QC故事）</w:t>
            </w:r>
          </w:p>
          <w:p w14:paraId="688886F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统计方法（SQC、可靠性）</w:t>
            </w:r>
          </w:p>
          <w:p w14:paraId="73BF8DC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质量功能展开（QFD）</w:t>
            </w:r>
          </w:p>
          <w:p w14:paraId="16484E71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田口方法</w:t>
            </w:r>
          </w:p>
        </w:tc>
        <w:tc>
          <w:tcPr>
            <w:tcW w:w="4396" w:type="dxa"/>
            <w:noWrap w:val="0"/>
            <w:vAlign w:val="top"/>
          </w:tcPr>
          <w:p w14:paraId="45A28036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标准化</w:t>
            </w:r>
          </w:p>
          <w:p w14:paraId="45B6A477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管理体系（认证）</w:t>
            </w:r>
          </w:p>
          <w:p w14:paraId="23CD4138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卓越服务</w:t>
            </w:r>
          </w:p>
          <w:p w14:paraId="008DB0C2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ISO 9000</w:t>
            </w:r>
          </w:p>
          <w:p w14:paraId="607A5D7E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日常管理</w:t>
            </w:r>
          </w:p>
        </w:tc>
      </w:tr>
      <w:tr w14:paraId="1888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10AE24ED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4. </w:t>
            </w:r>
            <w:r>
              <w:rPr>
                <w:rFonts w:hint="eastAsia" w:ascii="宋体" w:hAnsi="宋体"/>
                <w:sz w:val="22"/>
                <w:szCs w:val="24"/>
              </w:rPr>
              <w:t>数字化与创新</w:t>
            </w:r>
          </w:p>
        </w:tc>
        <w:tc>
          <w:tcPr>
            <w:tcW w:w="4396" w:type="dxa"/>
            <w:noWrap w:val="0"/>
            <w:vAlign w:val="top"/>
          </w:tcPr>
          <w:p w14:paraId="092D8E39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9. 医疗</w:t>
            </w:r>
          </w:p>
        </w:tc>
      </w:tr>
      <w:tr w14:paraId="2FEF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26466464">
            <w:pPr>
              <w:rPr>
                <w:rFonts w:hint="eastAsia" w:ascii="宋体" w:hAnsi="宋体"/>
                <w:sz w:val="22"/>
                <w:szCs w:val="24"/>
                <w:lang w:val="fr-FR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- </w:t>
            </w:r>
            <w:r>
              <w:rPr>
                <w:rFonts w:hint="eastAsia" w:ascii="宋体" w:hAnsi="宋体"/>
                <w:sz w:val="22"/>
                <w:szCs w:val="24"/>
              </w:rPr>
              <w:t>数字化转型</w:t>
            </w:r>
            <w:r>
              <w:rPr>
                <w:rFonts w:hint="eastAsia" w:ascii="宋体" w:hAnsi="宋体"/>
                <w:sz w:val="22"/>
                <w:szCs w:val="24"/>
                <w:lang w:val="fr-FR"/>
              </w:rPr>
              <w:t>（DX）</w:t>
            </w:r>
          </w:p>
          <w:p w14:paraId="4C4DC54C">
            <w:pPr>
              <w:rPr>
                <w:rFonts w:hint="eastAsia" w:ascii="宋体" w:hAnsi="宋体"/>
                <w:sz w:val="22"/>
                <w:szCs w:val="24"/>
                <w:lang w:val="fr-FR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- </w:t>
            </w:r>
            <w:r>
              <w:rPr>
                <w:rFonts w:hint="eastAsia" w:ascii="宋体" w:hAnsi="宋体"/>
                <w:sz w:val="22"/>
                <w:szCs w:val="24"/>
              </w:rPr>
              <w:t>人工智能</w:t>
            </w:r>
            <w:r>
              <w:rPr>
                <w:rFonts w:hint="eastAsia" w:ascii="宋体" w:hAnsi="宋体"/>
                <w:sz w:val="22"/>
                <w:szCs w:val="24"/>
                <w:lang w:val="fr-FR"/>
              </w:rPr>
              <w:t>（AI）</w:t>
            </w:r>
          </w:p>
          <w:p w14:paraId="7DA59652">
            <w:pPr>
              <w:rPr>
                <w:rFonts w:hint="eastAsia" w:ascii="宋体" w:hAnsi="宋体"/>
                <w:sz w:val="22"/>
                <w:szCs w:val="24"/>
                <w:lang w:val="fr-FR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- </w:t>
            </w:r>
            <w:r>
              <w:rPr>
                <w:rFonts w:hint="eastAsia" w:ascii="宋体" w:hAnsi="宋体"/>
                <w:sz w:val="22"/>
                <w:szCs w:val="24"/>
              </w:rPr>
              <w:t>信息管理、数字化管理</w:t>
            </w:r>
          </w:p>
          <w:p w14:paraId="4FA1DAD7">
            <w:pPr>
              <w:tabs>
                <w:tab w:val="left" w:pos="1510"/>
              </w:tabs>
              <w:rPr>
                <w:rFonts w:hint="eastAsia" w:ascii="宋体" w:hAnsi="宋体"/>
                <w:sz w:val="22"/>
                <w:szCs w:val="24"/>
                <w:lang w:val="fr-FR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- </w:t>
            </w:r>
            <w:r>
              <w:rPr>
                <w:rFonts w:hint="eastAsia" w:ascii="宋体" w:hAnsi="宋体"/>
                <w:sz w:val="22"/>
                <w:szCs w:val="24"/>
              </w:rPr>
              <w:t>质量信息系统</w:t>
            </w:r>
            <w:r>
              <w:rPr>
                <w:rFonts w:hint="eastAsia" w:ascii="宋体" w:hAnsi="宋体"/>
                <w:sz w:val="22"/>
                <w:szCs w:val="24"/>
              </w:rPr>
              <w:tab/>
            </w:r>
          </w:p>
        </w:tc>
        <w:tc>
          <w:tcPr>
            <w:tcW w:w="4396" w:type="dxa"/>
            <w:noWrap w:val="0"/>
            <w:vAlign w:val="top"/>
          </w:tcPr>
          <w:p w14:paraId="45B51EC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医疗质量保证</w:t>
            </w:r>
          </w:p>
          <w:p w14:paraId="1A2CAD49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患者安全</w:t>
            </w:r>
          </w:p>
          <w:p w14:paraId="2EF5C6C0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患者体验（PX）与患者满意度</w:t>
            </w:r>
          </w:p>
        </w:tc>
      </w:tr>
      <w:tr w14:paraId="0711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17AD73B5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val="fr-FR"/>
              </w:rPr>
              <w:t xml:space="preserve">5. </w:t>
            </w:r>
            <w:r>
              <w:rPr>
                <w:rFonts w:hint="eastAsia" w:ascii="宋体" w:hAnsi="宋体"/>
                <w:sz w:val="22"/>
                <w:szCs w:val="24"/>
              </w:rPr>
              <w:t>可持续发展</w:t>
            </w:r>
          </w:p>
        </w:tc>
        <w:tc>
          <w:tcPr>
            <w:tcW w:w="4396" w:type="dxa"/>
            <w:noWrap w:val="0"/>
            <w:vAlign w:val="top"/>
          </w:tcPr>
          <w:p w14:paraId="54A31261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10. 新业务开发</w:t>
            </w:r>
          </w:p>
        </w:tc>
      </w:tr>
      <w:tr w14:paraId="1E2E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6" w:type="dxa"/>
            <w:noWrap w:val="0"/>
            <w:vAlign w:val="top"/>
          </w:tcPr>
          <w:p w14:paraId="06328D6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可持续发展目标（SDGs）</w:t>
            </w:r>
          </w:p>
          <w:p w14:paraId="5D0BAAAE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可持续发展</w:t>
            </w:r>
          </w:p>
          <w:p w14:paraId="7E6EEBAB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气候变化、温室气体排放（GHG）</w:t>
            </w:r>
          </w:p>
          <w:p w14:paraId="4C549496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企业社会责任</w:t>
            </w:r>
          </w:p>
        </w:tc>
        <w:tc>
          <w:tcPr>
            <w:tcW w:w="4396" w:type="dxa"/>
            <w:noWrap w:val="0"/>
            <w:vAlign w:val="top"/>
          </w:tcPr>
          <w:p w14:paraId="57C8A65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新产品与服务开发</w:t>
            </w:r>
          </w:p>
          <w:p w14:paraId="5BF017EA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新产品与服务策划</w:t>
            </w:r>
          </w:p>
          <w:p w14:paraId="0F4C4834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业务开发</w:t>
            </w:r>
          </w:p>
          <w:p w14:paraId="432FF40C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品牌管理</w:t>
            </w:r>
          </w:p>
          <w:p w14:paraId="4DA96148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市场营销</w:t>
            </w:r>
          </w:p>
          <w:p w14:paraId="1E1F28B7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与业务合作伙伴共同创造价值</w:t>
            </w:r>
          </w:p>
          <w:p w14:paraId="146C4264">
            <w:pPr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- 卓越服务</w:t>
            </w:r>
          </w:p>
        </w:tc>
      </w:tr>
    </w:tbl>
    <w:p w14:paraId="03D5C1D1">
      <w:pPr>
        <w:spacing w:line="120" w:lineRule="auto"/>
        <w:ind w:left="472" w:hanging="471" w:hangingChars="131"/>
        <w:rPr>
          <w:rFonts w:hint="eastAsia" w:ascii="方正小标宋简体" w:hAnsi="宋体" w:eastAsia="方正小标宋简体" w:cs="方正小标宋简体"/>
          <w:bCs/>
          <w:sz w:val="36"/>
          <w:szCs w:val="36"/>
        </w:rPr>
      </w:pPr>
    </w:p>
    <w:p w14:paraId="08882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1990E63"/>
    <w:rsid w:val="019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2024-10-17T02:26:00Z</dcterms:created>
  <dc:creator>WFY</dc:creator>
  <cp:lastModifiedBy>WFY</cp:lastModifiedBy>
  <dcterms:modified xsi:type="dcterms:W3CDTF">2024-10-17T02:27:13Z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24A9C20EB3B74A0C8AF164F619F8E20F_11</vt:lpwstr>
  </property>
</Properties>
</file>