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F7FA" w14:textId="77777777" w:rsidR="00FB5C8E" w:rsidRDefault="00000000">
      <w:pPr>
        <w:spacing w:line="560" w:lineRule="exact"/>
        <w:jc w:val="left"/>
        <w:rPr>
          <w:rFonts w:ascii="黑体" w:eastAsia="黑体" w:hAnsi="黑体" w:hint="eastAsia"/>
          <w:sz w:val="32"/>
          <w:szCs w:val="32"/>
        </w:rPr>
      </w:pPr>
      <w:bookmarkStart w:id="0" w:name="_Hlk204151872"/>
      <w:r w:rsidRPr="00271820">
        <w:rPr>
          <w:rFonts w:ascii="黑体" w:eastAsia="黑体" w:hAnsi="黑体" w:hint="eastAsia"/>
          <w:sz w:val="32"/>
          <w:szCs w:val="32"/>
        </w:rPr>
        <w:t>附件1</w:t>
      </w:r>
    </w:p>
    <w:p w14:paraId="133694CB" w14:textId="77777777" w:rsidR="00271820" w:rsidRPr="00271820" w:rsidRDefault="00271820">
      <w:pPr>
        <w:spacing w:line="560" w:lineRule="exact"/>
        <w:jc w:val="left"/>
        <w:rPr>
          <w:rFonts w:ascii="黑体" w:eastAsia="黑体" w:hAnsi="黑体" w:hint="eastAsia"/>
          <w:sz w:val="32"/>
          <w:szCs w:val="32"/>
        </w:rPr>
      </w:pPr>
    </w:p>
    <w:p w14:paraId="721C08E2" w14:textId="77777777" w:rsidR="00FB5C8E" w:rsidRDefault="00000000">
      <w:pPr>
        <w:spacing w:line="560" w:lineRule="exact"/>
        <w:jc w:val="center"/>
        <w:rPr>
          <w:rFonts w:ascii="宋体" w:hAnsi="宋体" w:hint="eastAsia"/>
          <w:b/>
          <w:bCs/>
          <w:sz w:val="32"/>
          <w:szCs w:val="32"/>
        </w:rPr>
      </w:pPr>
      <w:r>
        <w:rPr>
          <w:rFonts w:ascii="宋体" w:hAnsi="宋体" w:hint="eastAsia"/>
          <w:b/>
          <w:bCs/>
          <w:sz w:val="32"/>
          <w:szCs w:val="32"/>
        </w:rPr>
        <w:t>中国铸造协会中国铸造行业综合竞争力优势企业</w:t>
      </w:r>
    </w:p>
    <w:bookmarkEnd w:id="0"/>
    <w:p w14:paraId="388DC8DA" w14:textId="77777777" w:rsidR="00FB5C8E" w:rsidRDefault="00000000">
      <w:pPr>
        <w:spacing w:line="560" w:lineRule="exact"/>
        <w:jc w:val="center"/>
        <w:rPr>
          <w:rFonts w:ascii="宋体" w:hAnsi="宋体" w:hint="eastAsia"/>
          <w:sz w:val="32"/>
          <w:szCs w:val="32"/>
        </w:rPr>
      </w:pPr>
      <w:r>
        <w:rPr>
          <w:rFonts w:ascii="宋体" w:hAnsi="宋体" w:hint="eastAsia"/>
          <w:b/>
          <w:bCs/>
          <w:sz w:val="32"/>
          <w:szCs w:val="32"/>
        </w:rPr>
        <w:t>评比表彰管理办法</w:t>
      </w:r>
    </w:p>
    <w:p w14:paraId="325F2BB0" w14:textId="77777777" w:rsidR="00FB5C8E" w:rsidRDefault="00000000">
      <w:pPr>
        <w:spacing w:beforeLines="50" w:before="120" w:line="560" w:lineRule="exact"/>
        <w:jc w:val="center"/>
        <w:rPr>
          <w:rFonts w:ascii="宋体" w:hAnsi="宋体" w:hint="eastAsia"/>
          <w:b/>
          <w:bCs/>
          <w:sz w:val="32"/>
          <w:szCs w:val="32"/>
        </w:rPr>
      </w:pPr>
      <w:r>
        <w:rPr>
          <w:rFonts w:ascii="宋体" w:hAnsi="宋体" w:hint="eastAsia"/>
          <w:b/>
          <w:bCs/>
          <w:sz w:val="32"/>
          <w:szCs w:val="32"/>
        </w:rPr>
        <w:t>第一章 总则</w:t>
      </w:r>
    </w:p>
    <w:p w14:paraId="081BC646" w14:textId="77777777" w:rsidR="00FB5C8E" w:rsidRDefault="00000000">
      <w:pPr>
        <w:spacing w:line="560" w:lineRule="exact"/>
        <w:rPr>
          <w:rFonts w:ascii="宋体" w:hAnsi="宋体" w:hint="eastAsia"/>
          <w:sz w:val="28"/>
          <w:szCs w:val="28"/>
        </w:rPr>
      </w:pPr>
      <w:r>
        <w:rPr>
          <w:rFonts w:ascii="宋体" w:hAnsi="宋体" w:hint="eastAsia"/>
          <w:b/>
          <w:bCs/>
          <w:sz w:val="28"/>
          <w:szCs w:val="28"/>
        </w:rPr>
        <w:t>第一条</w:t>
      </w:r>
      <w:r>
        <w:rPr>
          <w:rFonts w:ascii="宋体" w:hAnsi="宋体" w:hint="eastAsia"/>
          <w:sz w:val="28"/>
          <w:szCs w:val="28"/>
        </w:rPr>
        <w:t xml:space="preserve"> 依据民政部、中央社会工作部发布的《全国性社会组织评比表彰项目清单》（民政部公告第581号），中国铸造协会（简称“中铸协”）获准在行业内开展“中国铸造协会中国铸造行业综合竞争力优势企业”（以下简称“综合竞争力优势企业”）评比表彰活动。</w:t>
      </w:r>
    </w:p>
    <w:p w14:paraId="2C921BE9" w14:textId="77777777" w:rsidR="00FB5C8E" w:rsidRDefault="00000000">
      <w:pPr>
        <w:spacing w:line="560" w:lineRule="exact"/>
        <w:rPr>
          <w:rFonts w:ascii="宋体" w:hAnsi="宋体" w:hint="eastAsia"/>
          <w:sz w:val="28"/>
          <w:szCs w:val="28"/>
        </w:rPr>
      </w:pPr>
      <w:r>
        <w:rPr>
          <w:rFonts w:ascii="宋体" w:hAnsi="宋体" w:hint="eastAsia"/>
          <w:b/>
          <w:bCs/>
          <w:sz w:val="28"/>
          <w:szCs w:val="28"/>
        </w:rPr>
        <w:t xml:space="preserve">第二条 </w:t>
      </w:r>
      <w:r>
        <w:rPr>
          <w:rFonts w:ascii="宋体" w:hAnsi="宋体" w:hint="eastAsia"/>
          <w:sz w:val="28"/>
          <w:szCs w:val="28"/>
        </w:rPr>
        <w:t>为规范“综合竞争力优势企业”评比表彰活动开展，依据《社会组织评比达标表彰活动管理办法》（</w:t>
      </w:r>
      <w:proofErr w:type="gramStart"/>
      <w:r>
        <w:rPr>
          <w:rFonts w:ascii="宋体" w:hAnsi="宋体" w:hint="eastAsia"/>
          <w:sz w:val="28"/>
          <w:szCs w:val="28"/>
        </w:rPr>
        <w:t>国评组发</w:t>
      </w:r>
      <w:proofErr w:type="gramEnd"/>
      <w:r>
        <w:rPr>
          <w:rFonts w:ascii="宋体" w:hAnsi="宋体" w:hint="eastAsia"/>
          <w:sz w:val="28"/>
          <w:szCs w:val="28"/>
        </w:rPr>
        <w:t>〔</w:t>
      </w:r>
      <w:r>
        <w:rPr>
          <w:rFonts w:ascii="宋体" w:hAnsi="宋体"/>
          <w:sz w:val="28"/>
          <w:szCs w:val="28"/>
        </w:rPr>
        <w:t>2022〕3号</w:t>
      </w:r>
      <w:r>
        <w:rPr>
          <w:rFonts w:ascii="宋体" w:hAnsi="宋体" w:hint="eastAsia"/>
          <w:sz w:val="28"/>
          <w:szCs w:val="28"/>
        </w:rPr>
        <w:t>）及相关规定，制定本管理办法。</w:t>
      </w:r>
    </w:p>
    <w:p w14:paraId="7C45811F" w14:textId="77777777" w:rsidR="00FB5C8E" w:rsidRDefault="00000000">
      <w:pPr>
        <w:spacing w:line="560" w:lineRule="exact"/>
        <w:rPr>
          <w:rFonts w:ascii="宋体" w:hAnsi="宋体" w:hint="eastAsia"/>
          <w:sz w:val="28"/>
          <w:szCs w:val="28"/>
        </w:rPr>
      </w:pPr>
      <w:r>
        <w:rPr>
          <w:rFonts w:ascii="宋体" w:hAnsi="宋体" w:hint="eastAsia"/>
          <w:b/>
          <w:bCs/>
          <w:sz w:val="28"/>
          <w:szCs w:val="28"/>
        </w:rPr>
        <w:t>第三条</w:t>
      </w:r>
      <w:r>
        <w:rPr>
          <w:rFonts w:ascii="宋体" w:hAnsi="宋体" w:hint="eastAsia"/>
          <w:sz w:val="28"/>
          <w:szCs w:val="28"/>
        </w:rPr>
        <w:t xml:space="preserve"> </w:t>
      </w:r>
      <w:proofErr w:type="gramStart"/>
      <w:r>
        <w:rPr>
          <w:rFonts w:ascii="宋体" w:hAnsi="宋体" w:hint="eastAsia"/>
          <w:sz w:val="28"/>
          <w:szCs w:val="28"/>
        </w:rPr>
        <w:t>中铸协设立</w:t>
      </w:r>
      <w:proofErr w:type="gramEnd"/>
      <w:r>
        <w:rPr>
          <w:rFonts w:ascii="宋体" w:hAnsi="宋体" w:hint="eastAsia"/>
          <w:sz w:val="28"/>
          <w:szCs w:val="28"/>
        </w:rPr>
        <w:t>评比工作委员会，负责评比表彰活动具体组织实施工作，下设评比工作办公室负责日常事务。“综合竞争力优势企业”奖项设置及名额不得突破已批准项目和名额上限，当申报企业未达标准要求或申报数量不足时，各项奖励名额可空缺。</w:t>
      </w:r>
    </w:p>
    <w:p w14:paraId="11778D68" w14:textId="77777777" w:rsidR="00FB5C8E" w:rsidRDefault="00000000">
      <w:pPr>
        <w:spacing w:line="560" w:lineRule="exact"/>
        <w:rPr>
          <w:rFonts w:ascii="宋体" w:hAnsi="宋体" w:hint="eastAsia"/>
          <w:sz w:val="28"/>
          <w:szCs w:val="28"/>
        </w:rPr>
      </w:pPr>
      <w:r>
        <w:rPr>
          <w:rFonts w:ascii="宋体" w:hAnsi="宋体" w:hint="eastAsia"/>
          <w:b/>
          <w:bCs/>
          <w:sz w:val="28"/>
          <w:szCs w:val="28"/>
        </w:rPr>
        <w:t>第四条</w:t>
      </w:r>
      <w:r>
        <w:rPr>
          <w:rFonts w:ascii="宋体" w:hAnsi="宋体" w:hint="eastAsia"/>
          <w:sz w:val="28"/>
          <w:szCs w:val="28"/>
        </w:rPr>
        <w:t xml:space="preserve"> 评比表彰活动严格遵循“统一方法、统一标准、分类实施”的工作方针，坚持企业自愿申报、客观、公开、公平、公正的原则，不受任何组织或者个人的非法干涉。</w:t>
      </w:r>
    </w:p>
    <w:p w14:paraId="32788E19" w14:textId="77777777" w:rsidR="00FB5C8E" w:rsidRDefault="00000000">
      <w:pPr>
        <w:spacing w:line="560" w:lineRule="exact"/>
        <w:rPr>
          <w:rFonts w:ascii="宋体" w:hAnsi="宋体" w:hint="eastAsia"/>
          <w:sz w:val="28"/>
          <w:szCs w:val="28"/>
        </w:rPr>
      </w:pPr>
      <w:r>
        <w:rPr>
          <w:rFonts w:ascii="宋体" w:hAnsi="宋体" w:hint="eastAsia"/>
          <w:b/>
          <w:bCs/>
          <w:sz w:val="28"/>
          <w:szCs w:val="28"/>
        </w:rPr>
        <w:t>第五条</w:t>
      </w:r>
      <w:r>
        <w:rPr>
          <w:rFonts w:ascii="宋体" w:hAnsi="宋体" w:hint="eastAsia"/>
          <w:sz w:val="28"/>
          <w:szCs w:val="28"/>
        </w:rPr>
        <w:t xml:space="preserve"> 本评比表彰活动每五年开展一次，全程不收取任何费用。</w:t>
      </w:r>
    </w:p>
    <w:p w14:paraId="55F01B37" w14:textId="77777777" w:rsidR="00FB5C8E" w:rsidRDefault="00000000">
      <w:pPr>
        <w:spacing w:beforeLines="50" w:before="120" w:line="560" w:lineRule="exact"/>
        <w:jc w:val="center"/>
        <w:rPr>
          <w:rFonts w:ascii="宋体" w:hAnsi="宋体" w:hint="eastAsia"/>
          <w:b/>
          <w:bCs/>
          <w:sz w:val="32"/>
          <w:szCs w:val="32"/>
        </w:rPr>
      </w:pPr>
      <w:r>
        <w:rPr>
          <w:rFonts w:ascii="宋体" w:hAnsi="宋体" w:hint="eastAsia"/>
          <w:b/>
          <w:bCs/>
          <w:sz w:val="32"/>
          <w:szCs w:val="32"/>
        </w:rPr>
        <w:t>第二章 申报条件</w:t>
      </w:r>
    </w:p>
    <w:p w14:paraId="7750E76A" w14:textId="77777777" w:rsidR="00FB5C8E" w:rsidRDefault="00000000">
      <w:pPr>
        <w:spacing w:line="560" w:lineRule="exact"/>
        <w:rPr>
          <w:rFonts w:ascii="宋体" w:hAnsi="宋体" w:hint="eastAsia"/>
          <w:sz w:val="28"/>
          <w:szCs w:val="28"/>
        </w:rPr>
      </w:pPr>
      <w:r>
        <w:rPr>
          <w:rFonts w:ascii="宋体" w:hAnsi="宋体" w:hint="eastAsia"/>
          <w:b/>
          <w:bCs/>
          <w:sz w:val="28"/>
          <w:szCs w:val="28"/>
        </w:rPr>
        <w:t xml:space="preserve">第六条 </w:t>
      </w:r>
      <w:r>
        <w:rPr>
          <w:rFonts w:ascii="宋体" w:hAnsi="宋体" w:hint="eastAsia"/>
          <w:sz w:val="28"/>
          <w:szCs w:val="28"/>
        </w:rPr>
        <w:t>参评企业须满足以下基本条件：</w:t>
      </w:r>
    </w:p>
    <w:p w14:paraId="75CAD6EC" w14:textId="77777777" w:rsidR="00FB5C8E" w:rsidRDefault="00000000">
      <w:pPr>
        <w:spacing w:line="560" w:lineRule="exact"/>
        <w:rPr>
          <w:rFonts w:ascii="宋体" w:hAnsi="宋体" w:hint="eastAsia"/>
          <w:sz w:val="28"/>
          <w:szCs w:val="28"/>
        </w:rPr>
      </w:pPr>
      <w:r>
        <w:rPr>
          <w:rFonts w:ascii="宋体" w:hAnsi="宋体" w:hint="eastAsia"/>
          <w:sz w:val="28"/>
          <w:szCs w:val="28"/>
        </w:rPr>
        <w:lastRenderedPageBreak/>
        <w:t>（一）在中华人民共和国境内工商管理部门正式登记注册并具有法人资格的企业。</w:t>
      </w:r>
    </w:p>
    <w:p w14:paraId="01A42109" w14:textId="77777777" w:rsidR="00FB5C8E" w:rsidRDefault="00000000">
      <w:pPr>
        <w:spacing w:line="560" w:lineRule="exact"/>
        <w:rPr>
          <w:rFonts w:ascii="宋体" w:hAnsi="宋体" w:hint="eastAsia"/>
          <w:sz w:val="28"/>
          <w:szCs w:val="28"/>
        </w:rPr>
      </w:pPr>
      <w:r>
        <w:rPr>
          <w:rFonts w:ascii="宋体" w:hAnsi="宋体" w:hint="eastAsia"/>
          <w:sz w:val="28"/>
          <w:szCs w:val="28"/>
        </w:rPr>
        <w:t>（二）企业近三年（评选年度前推三年）内未发生重大安全、环保事故。</w:t>
      </w:r>
    </w:p>
    <w:p w14:paraId="10940F25" w14:textId="77777777" w:rsidR="00FB5C8E" w:rsidRDefault="00000000">
      <w:pPr>
        <w:spacing w:line="560" w:lineRule="exact"/>
        <w:rPr>
          <w:rFonts w:ascii="宋体" w:hAnsi="宋体" w:hint="eastAsia"/>
          <w:sz w:val="28"/>
          <w:szCs w:val="28"/>
        </w:rPr>
      </w:pPr>
      <w:r>
        <w:rPr>
          <w:rFonts w:ascii="宋体" w:hAnsi="宋体" w:hint="eastAsia"/>
          <w:sz w:val="28"/>
          <w:szCs w:val="28"/>
        </w:rPr>
        <w:t>（三）企业未受到重大行政处罚或被列入严重违法失信企业名单。</w:t>
      </w:r>
    </w:p>
    <w:p w14:paraId="1B15ACC0" w14:textId="77777777" w:rsidR="00FB5C8E" w:rsidRDefault="00000000">
      <w:pPr>
        <w:spacing w:beforeLines="50" w:before="120" w:line="560" w:lineRule="exact"/>
        <w:jc w:val="center"/>
        <w:rPr>
          <w:rFonts w:ascii="宋体" w:hAnsi="宋体" w:hint="eastAsia"/>
          <w:sz w:val="28"/>
          <w:szCs w:val="28"/>
        </w:rPr>
      </w:pPr>
      <w:r>
        <w:rPr>
          <w:rFonts w:ascii="宋体" w:hAnsi="宋体" w:hint="eastAsia"/>
          <w:b/>
          <w:bCs/>
          <w:sz w:val="32"/>
          <w:szCs w:val="32"/>
        </w:rPr>
        <w:t>第三章 奖项设置和评选名额</w:t>
      </w:r>
    </w:p>
    <w:p w14:paraId="29910A78" w14:textId="77777777" w:rsidR="00FB5C8E" w:rsidRDefault="00000000">
      <w:pPr>
        <w:spacing w:line="560" w:lineRule="exact"/>
        <w:rPr>
          <w:rFonts w:ascii="宋体" w:hAnsi="宋体" w:hint="eastAsia"/>
          <w:sz w:val="28"/>
          <w:szCs w:val="28"/>
        </w:rPr>
      </w:pPr>
      <w:r>
        <w:rPr>
          <w:rFonts w:ascii="宋体" w:hAnsi="宋体" w:hint="eastAsia"/>
          <w:b/>
          <w:bCs/>
          <w:sz w:val="28"/>
          <w:szCs w:val="28"/>
        </w:rPr>
        <w:t>第七条</w:t>
      </w:r>
      <w:r>
        <w:rPr>
          <w:rFonts w:ascii="宋体" w:hAnsi="宋体" w:hint="eastAsia"/>
          <w:sz w:val="28"/>
          <w:szCs w:val="28"/>
        </w:rPr>
        <w:t xml:space="preserve"> 中国铸造行业综合竞争力优势企业评选设“综合竞争力优势企业”与“分行业综合竞争力优势企业”两类奖项：</w:t>
      </w:r>
    </w:p>
    <w:p w14:paraId="3C4B6F14" w14:textId="77777777" w:rsidR="00FB5C8E" w:rsidRDefault="00000000">
      <w:pPr>
        <w:spacing w:line="560" w:lineRule="exact"/>
        <w:rPr>
          <w:rFonts w:ascii="宋体" w:hAnsi="宋体" w:hint="eastAsia"/>
          <w:sz w:val="28"/>
          <w:szCs w:val="28"/>
        </w:rPr>
      </w:pPr>
      <w:r>
        <w:rPr>
          <w:rFonts w:ascii="宋体" w:hAnsi="宋体" w:hint="eastAsia"/>
          <w:sz w:val="28"/>
          <w:szCs w:val="28"/>
        </w:rPr>
        <w:t>（一）综合竞争力优势企业：是指企业经营业绩、科技创新、社会责任及行业影响力等综合评价指标处于行业标杆示范水平的铸件生产企业，共评选100家。</w:t>
      </w:r>
    </w:p>
    <w:p w14:paraId="34F12D6B" w14:textId="77777777" w:rsidR="00FB5C8E" w:rsidRDefault="00000000">
      <w:pPr>
        <w:spacing w:line="560" w:lineRule="exact"/>
        <w:rPr>
          <w:rFonts w:ascii="宋体" w:hAnsi="宋体" w:hint="eastAsia"/>
          <w:sz w:val="28"/>
          <w:szCs w:val="28"/>
        </w:rPr>
      </w:pPr>
      <w:r>
        <w:rPr>
          <w:rFonts w:ascii="宋体" w:hAnsi="宋体" w:hint="eastAsia"/>
          <w:sz w:val="28"/>
          <w:szCs w:val="28"/>
        </w:rPr>
        <w:t>（二）分行业综合竞争力优势企业：是指企业经营业绩、科技创新、社会责任及行业影响力等综合评价指标处于分行业标杆示范水平的企业，共设14个分行业（包括铸铁、铸钢、有色合金铸造、熔模铸造、压铸、机床铸件、汽车铸件、轧辊、耐磨铸件、艺术铸造、铸造装备及检测仪器、铸造环保设备、压铸模具、铸造原辅材料），每个分行业评选10家，企业申报时需填写主要产品</w:t>
      </w:r>
      <w:proofErr w:type="gramStart"/>
      <w:r>
        <w:rPr>
          <w:rFonts w:ascii="宋体" w:hAnsi="宋体" w:hint="eastAsia"/>
          <w:sz w:val="28"/>
          <w:szCs w:val="28"/>
        </w:rPr>
        <w:t>所属分</w:t>
      </w:r>
      <w:proofErr w:type="gramEnd"/>
      <w:r>
        <w:rPr>
          <w:rFonts w:ascii="宋体" w:hAnsi="宋体" w:hint="eastAsia"/>
          <w:sz w:val="28"/>
          <w:szCs w:val="28"/>
        </w:rPr>
        <w:t>行业类别。</w:t>
      </w:r>
    </w:p>
    <w:p w14:paraId="23682742" w14:textId="77777777" w:rsidR="00FB5C8E" w:rsidRDefault="00000000">
      <w:pPr>
        <w:spacing w:line="560" w:lineRule="exact"/>
        <w:rPr>
          <w:rFonts w:ascii="宋体" w:hAnsi="宋体" w:hint="eastAsia"/>
          <w:sz w:val="28"/>
          <w:szCs w:val="28"/>
        </w:rPr>
      </w:pPr>
      <w:r>
        <w:rPr>
          <w:rFonts w:ascii="宋体" w:hAnsi="宋体" w:hint="eastAsia"/>
          <w:b/>
          <w:bCs/>
          <w:sz w:val="28"/>
          <w:szCs w:val="28"/>
        </w:rPr>
        <w:t>第八条</w:t>
      </w:r>
      <w:r>
        <w:rPr>
          <w:rFonts w:ascii="宋体" w:hAnsi="宋体"/>
          <w:sz w:val="28"/>
          <w:szCs w:val="28"/>
        </w:rPr>
        <w:t xml:space="preserve"> </w:t>
      </w:r>
      <w:r>
        <w:rPr>
          <w:rFonts w:ascii="宋体" w:hAnsi="宋体" w:hint="eastAsia"/>
          <w:sz w:val="28"/>
          <w:szCs w:val="28"/>
        </w:rPr>
        <w:t>铸件生产企业首先参与“综合竞争力优势企业”评选，未获认定的，再转入其所属行业的分行业评选程序。每家企业仅限获得</w:t>
      </w:r>
      <w:r>
        <w:rPr>
          <w:rFonts w:ascii="宋体" w:hAnsi="宋体"/>
          <w:sz w:val="28"/>
          <w:szCs w:val="28"/>
        </w:rPr>
        <w:t>一个奖项。</w:t>
      </w:r>
    </w:p>
    <w:p w14:paraId="6DB6CA18" w14:textId="77777777" w:rsidR="00FB5C8E" w:rsidRDefault="00000000">
      <w:pPr>
        <w:spacing w:beforeLines="50" w:before="120" w:line="560" w:lineRule="exact"/>
        <w:jc w:val="center"/>
        <w:rPr>
          <w:rFonts w:ascii="宋体" w:hAnsi="宋体" w:hint="eastAsia"/>
          <w:b/>
          <w:bCs/>
          <w:sz w:val="32"/>
          <w:szCs w:val="32"/>
        </w:rPr>
      </w:pPr>
      <w:r>
        <w:rPr>
          <w:rFonts w:ascii="宋体" w:hAnsi="宋体" w:hint="eastAsia"/>
          <w:b/>
          <w:bCs/>
          <w:sz w:val="32"/>
          <w:szCs w:val="32"/>
        </w:rPr>
        <w:t>第四章 工作程序</w:t>
      </w:r>
    </w:p>
    <w:p w14:paraId="1873E0A0" w14:textId="77777777" w:rsidR="00FB5C8E" w:rsidRDefault="00000000">
      <w:pPr>
        <w:spacing w:line="560" w:lineRule="exact"/>
        <w:rPr>
          <w:rFonts w:ascii="宋体" w:hAnsi="宋体" w:hint="eastAsia"/>
          <w:sz w:val="28"/>
          <w:szCs w:val="28"/>
        </w:rPr>
      </w:pPr>
      <w:r>
        <w:rPr>
          <w:rFonts w:ascii="宋体" w:hAnsi="宋体" w:hint="eastAsia"/>
          <w:b/>
          <w:bCs/>
          <w:sz w:val="28"/>
          <w:szCs w:val="28"/>
        </w:rPr>
        <w:t>第九条</w:t>
      </w:r>
      <w:r>
        <w:rPr>
          <w:rFonts w:ascii="宋体" w:hAnsi="宋体" w:hint="eastAsia"/>
          <w:sz w:val="28"/>
          <w:szCs w:val="28"/>
        </w:rPr>
        <w:t xml:space="preserve"> 凡符合本办法第二章基本条件的企业，遵循自愿原则，按评选标准和要求提交申报材料，</w:t>
      </w:r>
      <w:proofErr w:type="gramStart"/>
      <w:r>
        <w:rPr>
          <w:rFonts w:ascii="宋体" w:hAnsi="宋体" w:hint="eastAsia"/>
          <w:sz w:val="28"/>
          <w:szCs w:val="28"/>
        </w:rPr>
        <w:t>作出</w:t>
      </w:r>
      <w:proofErr w:type="gramEnd"/>
      <w:r>
        <w:rPr>
          <w:rFonts w:ascii="宋体" w:hAnsi="宋体" w:hint="eastAsia"/>
          <w:sz w:val="28"/>
          <w:szCs w:val="28"/>
        </w:rPr>
        <w:t>参评承诺。</w:t>
      </w:r>
    </w:p>
    <w:p w14:paraId="307D0ECD" w14:textId="77777777" w:rsidR="00FB5C8E" w:rsidRDefault="00000000">
      <w:pPr>
        <w:spacing w:line="560" w:lineRule="exact"/>
        <w:rPr>
          <w:rFonts w:ascii="宋体" w:hAnsi="宋体" w:hint="eastAsia"/>
          <w:sz w:val="28"/>
          <w:szCs w:val="28"/>
        </w:rPr>
      </w:pPr>
      <w:r>
        <w:rPr>
          <w:rFonts w:ascii="宋体" w:hAnsi="宋体" w:hint="eastAsia"/>
          <w:b/>
          <w:bCs/>
          <w:sz w:val="28"/>
          <w:szCs w:val="28"/>
        </w:rPr>
        <w:t>第十条</w:t>
      </w:r>
      <w:r>
        <w:rPr>
          <w:rFonts w:ascii="宋体" w:hAnsi="宋体" w:hint="eastAsia"/>
          <w:sz w:val="28"/>
          <w:szCs w:val="28"/>
        </w:rPr>
        <w:t xml:space="preserve"> 申报材料要求</w:t>
      </w:r>
    </w:p>
    <w:p w14:paraId="48AD9C8C" w14:textId="77777777" w:rsidR="00FB5C8E" w:rsidRDefault="00000000">
      <w:pPr>
        <w:spacing w:line="560" w:lineRule="exact"/>
        <w:rPr>
          <w:rFonts w:ascii="宋体" w:hAnsi="宋体" w:hint="eastAsia"/>
          <w:sz w:val="28"/>
          <w:szCs w:val="28"/>
          <w:highlight w:val="lightGray"/>
        </w:rPr>
      </w:pPr>
      <w:r>
        <w:rPr>
          <w:rFonts w:ascii="宋体" w:hAnsi="宋体" w:hint="eastAsia"/>
          <w:sz w:val="28"/>
          <w:szCs w:val="28"/>
        </w:rPr>
        <w:lastRenderedPageBreak/>
        <w:t>申报时应按规定填写由评比工作办公室制作的统一格式的申报书，提供必要的证明材料（包含纸质版及电子版），申报书及相关材料应完整、真实、可靠。</w:t>
      </w:r>
    </w:p>
    <w:p w14:paraId="475B8B0A" w14:textId="77777777" w:rsidR="00FB5C8E" w:rsidRDefault="00000000">
      <w:pPr>
        <w:spacing w:line="560" w:lineRule="exact"/>
        <w:rPr>
          <w:rFonts w:ascii="宋体" w:hAnsi="宋体" w:hint="eastAsia"/>
          <w:sz w:val="28"/>
          <w:szCs w:val="28"/>
        </w:rPr>
      </w:pPr>
      <w:r>
        <w:rPr>
          <w:rFonts w:ascii="宋体" w:hAnsi="宋体" w:hint="eastAsia"/>
          <w:b/>
          <w:bCs/>
          <w:sz w:val="28"/>
          <w:szCs w:val="28"/>
        </w:rPr>
        <w:t>第十一条</w:t>
      </w:r>
      <w:r>
        <w:rPr>
          <w:rFonts w:ascii="宋体" w:hAnsi="宋体" w:hint="eastAsia"/>
          <w:sz w:val="28"/>
          <w:szCs w:val="28"/>
        </w:rPr>
        <w:t xml:space="preserve"> 申报材料提交截止日期按通知执行，可通过邮寄等方式提交，邮寄以邮戳日期为准，逾期不予受理。</w:t>
      </w:r>
    </w:p>
    <w:p w14:paraId="1DF1D2DB" w14:textId="77777777" w:rsidR="00FB5C8E" w:rsidRDefault="00000000">
      <w:pPr>
        <w:spacing w:line="560" w:lineRule="exact"/>
        <w:rPr>
          <w:rFonts w:ascii="宋体" w:hAnsi="宋体" w:hint="eastAsia"/>
          <w:sz w:val="28"/>
          <w:szCs w:val="28"/>
        </w:rPr>
      </w:pPr>
      <w:r>
        <w:rPr>
          <w:rFonts w:ascii="宋体" w:hAnsi="宋体" w:hint="eastAsia"/>
          <w:b/>
          <w:bCs/>
          <w:sz w:val="28"/>
          <w:szCs w:val="28"/>
        </w:rPr>
        <w:t>第十二</w:t>
      </w:r>
      <w:r>
        <w:rPr>
          <w:rFonts w:ascii="宋体" w:hAnsi="宋体" w:hint="eastAsia"/>
          <w:sz w:val="28"/>
          <w:szCs w:val="28"/>
        </w:rPr>
        <w:t>条 铸造行业综合竞争力优势企业评选按照形式审查、评审、公示、公告及备案等程序组织。</w:t>
      </w:r>
    </w:p>
    <w:p w14:paraId="6132D554" w14:textId="77777777" w:rsidR="00FB5C8E" w:rsidRDefault="00000000">
      <w:pPr>
        <w:spacing w:line="560" w:lineRule="exact"/>
        <w:rPr>
          <w:rFonts w:ascii="宋体" w:hAnsi="宋体" w:hint="eastAsia"/>
          <w:sz w:val="28"/>
          <w:szCs w:val="28"/>
        </w:rPr>
      </w:pPr>
      <w:r>
        <w:rPr>
          <w:rFonts w:ascii="宋体" w:hAnsi="宋体" w:hint="eastAsia"/>
          <w:b/>
          <w:bCs/>
          <w:sz w:val="28"/>
          <w:szCs w:val="28"/>
        </w:rPr>
        <w:t>第十三条</w:t>
      </w:r>
      <w:r>
        <w:rPr>
          <w:rFonts w:ascii="宋体" w:hAnsi="宋体" w:hint="eastAsia"/>
          <w:sz w:val="28"/>
          <w:szCs w:val="28"/>
        </w:rPr>
        <w:t xml:space="preserve"> 形式审查</w:t>
      </w:r>
    </w:p>
    <w:p w14:paraId="762ED313" w14:textId="77777777" w:rsidR="00FB5C8E" w:rsidRDefault="00000000">
      <w:pPr>
        <w:spacing w:line="560" w:lineRule="exact"/>
        <w:rPr>
          <w:rFonts w:ascii="宋体" w:hAnsi="宋体" w:hint="eastAsia"/>
          <w:sz w:val="28"/>
          <w:szCs w:val="28"/>
        </w:rPr>
      </w:pPr>
      <w:r>
        <w:rPr>
          <w:rFonts w:ascii="宋体" w:hAnsi="宋体" w:hint="eastAsia"/>
          <w:sz w:val="28"/>
          <w:szCs w:val="28"/>
        </w:rPr>
        <w:t>评比工作办公室在收到申请材料后，组织形式审查，提出初审意见。</w:t>
      </w:r>
    </w:p>
    <w:p w14:paraId="7D647EC1" w14:textId="77777777" w:rsidR="00FB5C8E" w:rsidRDefault="00000000">
      <w:pPr>
        <w:spacing w:line="560" w:lineRule="exact"/>
        <w:rPr>
          <w:rFonts w:ascii="宋体" w:hAnsi="宋体" w:hint="eastAsia"/>
          <w:sz w:val="28"/>
          <w:szCs w:val="28"/>
        </w:rPr>
      </w:pPr>
      <w:r>
        <w:rPr>
          <w:rFonts w:ascii="宋体" w:hAnsi="宋体" w:hint="eastAsia"/>
          <w:b/>
          <w:bCs/>
          <w:sz w:val="28"/>
          <w:szCs w:val="28"/>
        </w:rPr>
        <w:t>第十四条</w:t>
      </w:r>
      <w:r>
        <w:rPr>
          <w:rFonts w:ascii="宋体" w:hAnsi="宋体" w:hint="eastAsia"/>
          <w:sz w:val="28"/>
          <w:szCs w:val="28"/>
        </w:rPr>
        <w:t xml:space="preserve"> 评审</w:t>
      </w:r>
    </w:p>
    <w:p w14:paraId="135F9FE3" w14:textId="77777777" w:rsidR="00FB5C8E" w:rsidRDefault="00000000">
      <w:pPr>
        <w:spacing w:line="560" w:lineRule="exact"/>
        <w:rPr>
          <w:rFonts w:ascii="宋体" w:hAnsi="宋体" w:hint="eastAsia"/>
          <w:sz w:val="28"/>
          <w:szCs w:val="28"/>
        </w:rPr>
      </w:pPr>
      <w:r>
        <w:rPr>
          <w:rFonts w:ascii="宋体" w:hAnsi="宋体" w:hint="eastAsia"/>
          <w:sz w:val="28"/>
          <w:szCs w:val="28"/>
        </w:rPr>
        <w:t>评比工作委员会组织专家对参评企业进行集中评审，提出评审意见并确定拟公示名单。</w:t>
      </w:r>
    </w:p>
    <w:p w14:paraId="56857EFC" w14:textId="77777777" w:rsidR="00FB5C8E" w:rsidRDefault="00000000">
      <w:pPr>
        <w:spacing w:line="560" w:lineRule="exact"/>
        <w:rPr>
          <w:rFonts w:ascii="宋体" w:hAnsi="宋体" w:hint="eastAsia"/>
          <w:sz w:val="28"/>
          <w:szCs w:val="28"/>
        </w:rPr>
      </w:pPr>
      <w:r>
        <w:rPr>
          <w:rFonts w:ascii="宋体" w:hAnsi="宋体" w:hint="eastAsia"/>
          <w:b/>
          <w:bCs/>
          <w:sz w:val="28"/>
          <w:szCs w:val="28"/>
        </w:rPr>
        <w:t xml:space="preserve">第十五条 </w:t>
      </w:r>
      <w:r>
        <w:rPr>
          <w:rFonts w:ascii="宋体" w:hAnsi="宋体" w:hint="eastAsia"/>
          <w:sz w:val="28"/>
          <w:szCs w:val="28"/>
        </w:rPr>
        <w:t>公示</w:t>
      </w:r>
    </w:p>
    <w:p w14:paraId="5A657A3D" w14:textId="77777777" w:rsidR="00FB5C8E" w:rsidRDefault="00000000">
      <w:pPr>
        <w:spacing w:line="560" w:lineRule="exact"/>
        <w:rPr>
          <w:rFonts w:ascii="宋体" w:hAnsi="宋体" w:hint="eastAsia"/>
          <w:sz w:val="28"/>
          <w:szCs w:val="28"/>
        </w:rPr>
      </w:pPr>
      <w:r>
        <w:rPr>
          <w:rFonts w:ascii="宋体" w:hAnsi="宋体" w:hint="eastAsia"/>
          <w:sz w:val="28"/>
          <w:szCs w:val="28"/>
        </w:rPr>
        <w:t>对拟公示名单在协会官网（www.foundry.org.cn）进行公示，公示期5个工作日。任何单位或个人对结果有异议的，须在公示期内向评比工作办公室提出，逾期不予受理。</w:t>
      </w:r>
    </w:p>
    <w:p w14:paraId="020F5732" w14:textId="77777777" w:rsidR="00FB5C8E" w:rsidRDefault="00000000">
      <w:pPr>
        <w:spacing w:line="560" w:lineRule="exact"/>
        <w:rPr>
          <w:rFonts w:ascii="宋体" w:hAnsi="宋体" w:hint="eastAsia"/>
          <w:sz w:val="28"/>
          <w:szCs w:val="28"/>
        </w:rPr>
      </w:pPr>
      <w:r>
        <w:rPr>
          <w:rFonts w:ascii="宋体" w:hAnsi="宋体" w:hint="eastAsia"/>
          <w:b/>
          <w:bCs/>
          <w:sz w:val="28"/>
          <w:szCs w:val="28"/>
        </w:rPr>
        <w:t xml:space="preserve">第十六条 </w:t>
      </w:r>
      <w:r>
        <w:rPr>
          <w:rFonts w:ascii="宋体" w:hAnsi="宋体" w:hint="eastAsia"/>
          <w:sz w:val="28"/>
          <w:szCs w:val="28"/>
        </w:rPr>
        <w:t>公告</w:t>
      </w:r>
    </w:p>
    <w:p w14:paraId="2190D542" w14:textId="77777777" w:rsidR="00FB5C8E" w:rsidRDefault="00000000">
      <w:pPr>
        <w:spacing w:line="560" w:lineRule="exact"/>
        <w:rPr>
          <w:rFonts w:ascii="宋体" w:hAnsi="宋体" w:hint="eastAsia"/>
          <w:sz w:val="28"/>
          <w:szCs w:val="28"/>
        </w:rPr>
      </w:pPr>
      <w:r>
        <w:rPr>
          <w:rFonts w:ascii="宋体" w:hAnsi="宋体" w:hint="eastAsia"/>
          <w:sz w:val="28"/>
          <w:szCs w:val="28"/>
        </w:rPr>
        <w:t>对经公示无异议的企业，在</w:t>
      </w:r>
      <w:proofErr w:type="gramStart"/>
      <w:r>
        <w:rPr>
          <w:rFonts w:ascii="宋体" w:hAnsi="宋体" w:hint="eastAsia"/>
          <w:sz w:val="28"/>
          <w:szCs w:val="28"/>
        </w:rPr>
        <w:t>协会官网以</w:t>
      </w:r>
      <w:proofErr w:type="gramEnd"/>
      <w:r>
        <w:rPr>
          <w:rFonts w:ascii="宋体" w:hAnsi="宋体" w:hint="eastAsia"/>
          <w:sz w:val="28"/>
          <w:szCs w:val="28"/>
        </w:rPr>
        <w:t>公告方式向社会予以发布。</w:t>
      </w:r>
    </w:p>
    <w:p w14:paraId="4C521261" w14:textId="77777777" w:rsidR="00FB5C8E" w:rsidRDefault="00000000">
      <w:pPr>
        <w:spacing w:line="560" w:lineRule="exact"/>
        <w:rPr>
          <w:rFonts w:ascii="宋体" w:hAnsi="宋体" w:hint="eastAsia"/>
          <w:sz w:val="28"/>
          <w:szCs w:val="28"/>
        </w:rPr>
      </w:pPr>
      <w:r>
        <w:rPr>
          <w:rFonts w:ascii="宋体" w:hAnsi="宋体" w:hint="eastAsia"/>
          <w:b/>
          <w:bCs/>
          <w:sz w:val="28"/>
          <w:szCs w:val="28"/>
        </w:rPr>
        <w:t xml:space="preserve">第十七条 </w:t>
      </w:r>
      <w:r>
        <w:rPr>
          <w:rFonts w:ascii="宋体" w:hAnsi="宋体" w:hint="eastAsia"/>
          <w:sz w:val="28"/>
          <w:szCs w:val="28"/>
        </w:rPr>
        <w:t>备案</w:t>
      </w:r>
    </w:p>
    <w:p w14:paraId="0397F613" w14:textId="77777777" w:rsidR="00FB5C8E" w:rsidRDefault="00000000">
      <w:pPr>
        <w:spacing w:line="560" w:lineRule="exact"/>
        <w:rPr>
          <w:rFonts w:ascii="宋体" w:hAnsi="宋体" w:hint="eastAsia"/>
          <w:sz w:val="28"/>
          <w:szCs w:val="28"/>
        </w:rPr>
      </w:pPr>
      <w:r>
        <w:rPr>
          <w:rFonts w:ascii="宋体" w:hAnsi="宋体"/>
          <w:sz w:val="28"/>
          <w:szCs w:val="28"/>
        </w:rPr>
        <w:t>评</w:t>
      </w:r>
      <w:r>
        <w:rPr>
          <w:rFonts w:ascii="宋体" w:hAnsi="宋体" w:hint="eastAsia"/>
          <w:sz w:val="28"/>
          <w:szCs w:val="28"/>
        </w:rPr>
        <w:t>比</w:t>
      </w:r>
      <w:r>
        <w:rPr>
          <w:rFonts w:ascii="宋体" w:hAnsi="宋体"/>
          <w:sz w:val="28"/>
          <w:szCs w:val="28"/>
        </w:rPr>
        <w:t>表彰活动结束后，</w:t>
      </w:r>
      <w:proofErr w:type="gramStart"/>
      <w:r>
        <w:rPr>
          <w:rFonts w:ascii="宋体" w:hAnsi="宋体" w:hint="eastAsia"/>
          <w:sz w:val="28"/>
          <w:szCs w:val="28"/>
        </w:rPr>
        <w:t>中铸协按</w:t>
      </w:r>
      <w:proofErr w:type="gramEnd"/>
      <w:r>
        <w:rPr>
          <w:rFonts w:ascii="宋体" w:hAnsi="宋体" w:hint="eastAsia"/>
          <w:sz w:val="28"/>
          <w:szCs w:val="28"/>
        </w:rPr>
        <w:t>《社会组织评比达标表彰活动管理办法》</w:t>
      </w:r>
      <w:r>
        <w:rPr>
          <w:rFonts w:ascii="宋体" w:hAnsi="宋体"/>
          <w:sz w:val="28"/>
          <w:szCs w:val="28"/>
        </w:rPr>
        <w:t>及时</w:t>
      </w:r>
      <w:r>
        <w:rPr>
          <w:rFonts w:ascii="宋体" w:hAnsi="宋体" w:hint="eastAsia"/>
          <w:sz w:val="28"/>
          <w:szCs w:val="28"/>
        </w:rPr>
        <w:t>向有关</w:t>
      </w:r>
      <w:r>
        <w:rPr>
          <w:rFonts w:ascii="宋体" w:hAnsi="宋体"/>
          <w:sz w:val="28"/>
          <w:szCs w:val="28"/>
        </w:rPr>
        <w:t>管理部门</w:t>
      </w:r>
      <w:r>
        <w:rPr>
          <w:rFonts w:ascii="宋体" w:hAnsi="宋体" w:hint="eastAsia"/>
          <w:sz w:val="28"/>
          <w:szCs w:val="28"/>
        </w:rPr>
        <w:t>进行</w:t>
      </w:r>
      <w:r>
        <w:rPr>
          <w:rFonts w:ascii="宋体" w:hAnsi="宋体"/>
          <w:sz w:val="28"/>
          <w:szCs w:val="28"/>
        </w:rPr>
        <w:t>备案。</w:t>
      </w:r>
    </w:p>
    <w:p w14:paraId="77C7DA6A" w14:textId="77777777" w:rsidR="00FB5C8E" w:rsidRDefault="00FB5C8E">
      <w:pPr>
        <w:numPr>
          <w:ilvl w:val="255"/>
          <w:numId w:val="0"/>
        </w:numPr>
        <w:spacing w:beforeLines="50" w:before="120" w:line="560" w:lineRule="exact"/>
        <w:jc w:val="center"/>
        <w:rPr>
          <w:rFonts w:ascii="宋体" w:hAnsi="宋体" w:hint="eastAsia"/>
          <w:b/>
          <w:bCs/>
          <w:sz w:val="32"/>
          <w:szCs w:val="32"/>
        </w:rPr>
      </w:pPr>
    </w:p>
    <w:p w14:paraId="49131875" w14:textId="77777777" w:rsidR="00FB5C8E" w:rsidRDefault="00000000">
      <w:pPr>
        <w:numPr>
          <w:ilvl w:val="255"/>
          <w:numId w:val="0"/>
        </w:numPr>
        <w:spacing w:beforeLines="50" w:before="120" w:line="560" w:lineRule="exact"/>
        <w:jc w:val="center"/>
        <w:rPr>
          <w:rFonts w:ascii="宋体" w:hAnsi="宋体" w:hint="eastAsia"/>
          <w:b/>
          <w:bCs/>
          <w:sz w:val="32"/>
          <w:szCs w:val="32"/>
        </w:rPr>
      </w:pPr>
      <w:r>
        <w:rPr>
          <w:rFonts w:ascii="宋体" w:hAnsi="宋体" w:hint="eastAsia"/>
          <w:b/>
          <w:bCs/>
          <w:sz w:val="32"/>
          <w:szCs w:val="32"/>
        </w:rPr>
        <w:lastRenderedPageBreak/>
        <w:t>第五章 异议处理</w:t>
      </w:r>
    </w:p>
    <w:p w14:paraId="7C9E1565" w14:textId="77777777" w:rsidR="00FB5C8E" w:rsidRDefault="00000000">
      <w:pPr>
        <w:spacing w:line="560" w:lineRule="exact"/>
        <w:rPr>
          <w:rFonts w:ascii="宋体" w:hAnsi="宋体" w:hint="eastAsia"/>
          <w:b/>
          <w:bCs/>
          <w:sz w:val="28"/>
          <w:szCs w:val="28"/>
        </w:rPr>
      </w:pPr>
      <w:r>
        <w:rPr>
          <w:rFonts w:ascii="宋体" w:hAnsi="宋体" w:hint="eastAsia"/>
          <w:b/>
          <w:bCs/>
          <w:sz w:val="28"/>
          <w:szCs w:val="28"/>
        </w:rPr>
        <w:t xml:space="preserve">第十八条 </w:t>
      </w:r>
      <w:r>
        <w:rPr>
          <w:rFonts w:ascii="宋体" w:hAnsi="宋体"/>
          <w:sz w:val="28"/>
          <w:szCs w:val="28"/>
        </w:rPr>
        <w:t>评</w:t>
      </w:r>
      <w:r>
        <w:rPr>
          <w:rFonts w:ascii="宋体" w:hAnsi="宋体" w:hint="eastAsia"/>
          <w:sz w:val="28"/>
          <w:szCs w:val="28"/>
        </w:rPr>
        <w:t>比</w:t>
      </w:r>
      <w:r>
        <w:rPr>
          <w:rFonts w:ascii="宋体" w:hAnsi="宋体"/>
          <w:sz w:val="28"/>
          <w:szCs w:val="28"/>
        </w:rPr>
        <w:t>表彰工作接受社会监督。任何单位或个人对结果有异议的，须在公示期内向</w:t>
      </w:r>
      <w:r>
        <w:rPr>
          <w:rFonts w:ascii="宋体" w:hAnsi="宋体" w:hint="eastAsia"/>
          <w:sz w:val="28"/>
          <w:szCs w:val="28"/>
        </w:rPr>
        <w:t>评比工作</w:t>
      </w:r>
      <w:r>
        <w:rPr>
          <w:rFonts w:ascii="宋体" w:hAnsi="宋体"/>
          <w:sz w:val="28"/>
          <w:szCs w:val="28"/>
        </w:rPr>
        <w:t>办公室提交书面异议。</w:t>
      </w:r>
    </w:p>
    <w:p w14:paraId="57A7BC2D" w14:textId="77777777" w:rsidR="00FB5C8E" w:rsidRDefault="00000000">
      <w:pPr>
        <w:spacing w:line="560" w:lineRule="exact"/>
        <w:rPr>
          <w:rFonts w:ascii="宋体" w:hAnsi="宋体" w:hint="eastAsia"/>
          <w:b/>
          <w:bCs/>
          <w:sz w:val="28"/>
          <w:szCs w:val="28"/>
        </w:rPr>
      </w:pPr>
      <w:r>
        <w:rPr>
          <w:rFonts w:ascii="宋体" w:hAnsi="宋体" w:hint="eastAsia"/>
          <w:b/>
          <w:bCs/>
          <w:sz w:val="28"/>
          <w:szCs w:val="28"/>
        </w:rPr>
        <w:t xml:space="preserve">第十九条  </w:t>
      </w:r>
      <w:r>
        <w:rPr>
          <w:rFonts w:ascii="宋体" w:hAnsi="宋体"/>
          <w:sz w:val="28"/>
          <w:szCs w:val="28"/>
        </w:rPr>
        <w:t>书面异议须包含以下内容：</w:t>
      </w:r>
    </w:p>
    <w:p w14:paraId="58EAE72F" w14:textId="77777777" w:rsidR="00FB5C8E" w:rsidRDefault="00000000">
      <w:pPr>
        <w:spacing w:line="560" w:lineRule="exact"/>
        <w:rPr>
          <w:rFonts w:ascii="宋体" w:hAnsi="宋体" w:hint="eastAsia"/>
          <w:sz w:val="28"/>
          <w:szCs w:val="28"/>
        </w:rPr>
      </w:pPr>
      <w:r>
        <w:rPr>
          <w:rFonts w:ascii="宋体" w:hAnsi="宋体" w:hint="eastAsia"/>
          <w:sz w:val="28"/>
          <w:szCs w:val="28"/>
        </w:rPr>
        <w:t>（一）</w:t>
      </w:r>
      <w:r>
        <w:rPr>
          <w:rFonts w:ascii="宋体" w:hAnsi="宋体"/>
          <w:sz w:val="28"/>
          <w:szCs w:val="28"/>
        </w:rPr>
        <w:t>异议内容、事实依据及相关证明材料；</w:t>
      </w:r>
    </w:p>
    <w:p w14:paraId="46B3D1F0" w14:textId="77777777" w:rsidR="00FB5C8E" w:rsidRDefault="00000000">
      <w:pPr>
        <w:spacing w:line="560" w:lineRule="exact"/>
        <w:rPr>
          <w:rFonts w:ascii="宋体" w:hAnsi="宋体" w:hint="eastAsia"/>
          <w:sz w:val="28"/>
          <w:szCs w:val="28"/>
        </w:rPr>
      </w:pPr>
      <w:r>
        <w:rPr>
          <w:rFonts w:ascii="宋体" w:hAnsi="宋体" w:hint="eastAsia"/>
          <w:sz w:val="28"/>
          <w:szCs w:val="28"/>
        </w:rPr>
        <w:t>（二）</w:t>
      </w:r>
      <w:r>
        <w:rPr>
          <w:rFonts w:ascii="宋体" w:hAnsi="宋体"/>
          <w:sz w:val="28"/>
          <w:szCs w:val="28"/>
        </w:rPr>
        <w:t>异议单位名称、法定代表人、联系人、通信地址、联系电话，并加盖单位公章。逾期、无正当理由或匿名提出的异议，不予受理。</w:t>
      </w:r>
    </w:p>
    <w:p w14:paraId="7B89B22F" w14:textId="77777777" w:rsidR="00FB5C8E" w:rsidRDefault="00000000">
      <w:pPr>
        <w:spacing w:line="560" w:lineRule="exact"/>
        <w:rPr>
          <w:rFonts w:ascii="宋体" w:hAnsi="宋体" w:hint="eastAsia"/>
          <w:sz w:val="28"/>
          <w:szCs w:val="28"/>
        </w:rPr>
      </w:pPr>
      <w:r>
        <w:rPr>
          <w:rFonts w:ascii="宋体" w:hAnsi="宋体" w:hint="eastAsia"/>
          <w:b/>
          <w:bCs/>
          <w:sz w:val="28"/>
          <w:szCs w:val="28"/>
        </w:rPr>
        <w:t xml:space="preserve">第二十条 </w:t>
      </w:r>
      <w:r>
        <w:rPr>
          <w:rFonts w:ascii="宋体" w:hAnsi="宋体" w:hint="eastAsia"/>
          <w:sz w:val="28"/>
          <w:szCs w:val="28"/>
        </w:rPr>
        <w:t>评比工作办公室</w:t>
      </w:r>
      <w:r>
        <w:rPr>
          <w:rFonts w:ascii="宋体" w:hAnsi="宋体"/>
          <w:sz w:val="28"/>
          <w:szCs w:val="28"/>
        </w:rPr>
        <w:t>负责核实、调查</w:t>
      </w:r>
      <w:r>
        <w:rPr>
          <w:rFonts w:ascii="宋体" w:hAnsi="宋体" w:hint="eastAsia"/>
          <w:sz w:val="28"/>
          <w:szCs w:val="28"/>
        </w:rPr>
        <w:t>、澄清</w:t>
      </w:r>
      <w:r>
        <w:rPr>
          <w:rFonts w:ascii="宋体" w:hAnsi="宋体"/>
          <w:sz w:val="28"/>
          <w:szCs w:val="28"/>
        </w:rPr>
        <w:t>并提出处理意见，相关决定通知涉及异议的各方。</w:t>
      </w:r>
    </w:p>
    <w:p w14:paraId="6C85B8A5" w14:textId="77777777" w:rsidR="00FB5C8E" w:rsidRDefault="00000000">
      <w:pPr>
        <w:spacing w:beforeLines="50" w:before="120" w:line="560" w:lineRule="exact"/>
        <w:jc w:val="center"/>
        <w:rPr>
          <w:rFonts w:ascii="宋体" w:hAnsi="宋体" w:hint="eastAsia"/>
          <w:b/>
          <w:bCs/>
          <w:sz w:val="32"/>
          <w:szCs w:val="32"/>
        </w:rPr>
      </w:pPr>
      <w:r>
        <w:rPr>
          <w:rFonts w:ascii="宋体" w:hAnsi="宋体" w:hint="eastAsia"/>
          <w:b/>
          <w:bCs/>
          <w:sz w:val="32"/>
          <w:szCs w:val="32"/>
        </w:rPr>
        <w:t>第六章 表彰和管理</w:t>
      </w:r>
    </w:p>
    <w:p w14:paraId="610990A5" w14:textId="77777777" w:rsidR="00FB5C8E" w:rsidRDefault="00000000">
      <w:pPr>
        <w:spacing w:line="560" w:lineRule="exact"/>
        <w:rPr>
          <w:rFonts w:ascii="宋体" w:hAnsi="宋体" w:hint="eastAsia"/>
          <w:sz w:val="28"/>
          <w:szCs w:val="28"/>
        </w:rPr>
      </w:pPr>
      <w:r>
        <w:rPr>
          <w:rFonts w:ascii="宋体" w:hAnsi="宋体" w:hint="eastAsia"/>
          <w:b/>
          <w:bCs/>
          <w:sz w:val="28"/>
          <w:szCs w:val="28"/>
        </w:rPr>
        <w:t>第二十一条</w:t>
      </w:r>
      <w:r>
        <w:rPr>
          <w:rFonts w:ascii="宋体" w:hAnsi="宋体" w:hint="eastAsia"/>
          <w:sz w:val="28"/>
          <w:szCs w:val="28"/>
        </w:rPr>
        <w:t xml:space="preserve"> 中国铸造协会对获奖企业授予荣誉称号，颁发证书和奖牌，荣誉称号有效期为五年。</w:t>
      </w:r>
    </w:p>
    <w:p w14:paraId="46FEE9C6" w14:textId="77777777" w:rsidR="00FB5C8E" w:rsidRDefault="00000000">
      <w:pPr>
        <w:spacing w:line="560" w:lineRule="exact"/>
        <w:rPr>
          <w:rFonts w:ascii="宋体" w:hAnsi="宋体" w:hint="eastAsia"/>
          <w:sz w:val="28"/>
          <w:szCs w:val="28"/>
        </w:rPr>
      </w:pPr>
      <w:r>
        <w:rPr>
          <w:rFonts w:ascii="宋体" w:hAnsi="宋体" w:hint="eastAsia"/>
          <w:b/>
          <w:bCs/>
          <w:sz w:val="28"/>
          <w:szCs w:val="28"/>
        </w:rPr>
        <w:t>第二十二条</w:t>
      </w:r>
      <w:r>
        <w:rPr>
          <w:rFonts w:ascii="宋体" w:hAnsi="宋体" w:hint="eastAsia"/>
          <w:sz w:val="28"/>
          <w:szCs w:val="28"/>
        </w:rPr>
        <w:t xml:space="preserve"> 授予荣誉称号期间企业如出现以下情形之一：</w:t>
      </w:r>
    </w:p>
    <w:p w14:paraId="3C5B36FC" w14:textId="77777777" w:rsidR="00FB5C8E" w:rsidRDefault="00000000">
      <w:pPr>
        <w:spacing w:line="560" w:lineRule="exact"/>
        <w:rPr>
          <w:rFonts w:ascii="宋体" w:hAnsi="宋体" w:hint="eastAsia"/>
          <w:sz w:val="28"/>
          <w:szCs w:val="28"/>
        </w:rPr>
      </w:pPr>
      <w:r>
        <w:rPr>
          <w:rFonts w:ascii="宋体" w:hAnsi="宋体" w:hint="eastAsia"/>
          <w:sz w:val="28"/>
          <w:szCs w:val="28"/>
        </w:rPr>
        <w:t>（一）被查实提供虚假申报材料的企业；</w:t>
      </w:r>
    </w:p>
    <w:p w14:paraId="12592429" w14:textId="77777777" w:rsidR="00FB5C8E" w:rsidRDefault="00000000">
      <w:pPr>
        <w:spacing w:line="560" w:lineRule="exact"/>
        <w:rPr>
          <w:rFonts w:ascii="宋体" w:hAnsi="宋体" w:hint="eastAsia"/>
          <w:sz w:val="28"/>
          <w:szCs w:val="28"/>
        </w:rPr>
      </w:pPr>
      <w:r>
        <w:rPr>
          <w:rFonts w:ascii="宋体" w:hAnsi="宋体" w:hint="eastAsia"/>
          <w:sz w:val="28"/>
          <w:szCs w:val="28"/>
        </w:rPr>
        <w:t>（二）发生重大安全、环保事故的企业；</w:t>
      </w:r>
    </w:p>
    <w:p w14:paraId="00CCFEBB" w14:textId="77777777" w:rsidR="00FB5C8E" w:rsidRDefault="00000000">
      <w:pPr>
        <w:spacing w:line="560" w:lineRule="exact"/>
        <w:rPr>
          <w:rFonts w:ascii="宋体" w:hAnsi="宋体" w:hint="eastAsia"/>
          <w:sz w:val="28"/>
          <w:szCs w:val="28"/>
        </w:rPr>
      </w:pPr>
      <w:r>
        <w:rPr>
          <w:rFonts w:ascii="宋体" w:hAnsi="宋体" w:hint="eastAsia"/>
          <w:sz w:val="28"/>
          <w:szCs w:val="28"/>
        </w:rPr>
        <w:t>（三）被列入严重违法失信企业名单、受到重大行政处罚的企业；</w:t>
      </w:r>
    </w:p>
    <w:p w14:paraId="53550A7F" w14:textId="77777777" w:rsidR="00FB5C8E" w:rsidRDefault="00000000">
      <w:pPr>
        <w:spacing w:line="560" w:lineRule="exact"/>
        <w:rPr>
          <w:rFonts w:ascii="宋体" w:hAnsi="宋体" w:hint="eastAsia"/>
          <w:sz w:val="28"/>
          <w:szCs w:val="28"/>
        </w:rPr>
      </w:pPr>
      <w:r>
        <w:rPr>
          <w:rFonts w:ascii="宋体" w:hAnsi="宋体" w:hint="eastAsia"/>
          <w:sz w:val="28"/>
          <w:szCs w:val="28"/>
        </w:rPr>
        <w:t>所授荣誉称号予以取消并收回证书、奖牌及荣誉称号。</w:t>
      </w:r>
    </w:p>
    <w:p w14:paraId="00809DAE" w14:textId="77777777" w:rsidR="00FB5C8E" w:rsidRDefault="00000000">
      <w:pPr>
        <w:spacing w:beforeLines="50" w:before="120" w:line="560" w:lineRule="exact"/>
        <w:jc w:val="center"/>
        <w:rPr>
          <w:rFonts w:ascii="宋体" w:hAnsi="宋体" w:hint="eastAsia"/>
          <w:b/>
          <w:bCs/>
          <w:sz w:val="32"/>
          <w:szCs w:val="32"/>
        </w:rPr>
      </w:pPr>
      <w:r>
        <w:rPr>
          <w:rFonts w:ascii="宋体" w:hAnsi="宋体" w:hint="eastAsia"/>
          <w:b/>
          <w:bCs/>
          <w:sz w:val="32"/>
          <w:szCs w:val="32"/>
        </w:rPr>
        <w:t>第七章 附则</w:t>
      </w:r>
    </w:p>
    <w:p w14:paraId="612DDE99" w14:textId="77777777" w:rsidR="00FB5C8E" w:rsidRDefault="00000000">
      <w:pPr>
        <w:spacing w:line="560" w:lineRule="exact"/>
        <w:rPr>
          <w:rFonts w:ascii="宋体" w:hAnsi="宋体" w:hint="eastAsia"/>
          <w:sz w:val="28"/>
          <w:szCs w:val="28"/>
        </w:rPr>
      </w:pPr>
      <w:r>
        <w:rPr>
          <w:rFonts w:ascii="宋体" w:hAnsi="宋体" w:hint="eastAsia"/>
          <w:b/>
          <w:bCs/>
          <w:sz w:val="28"/>
          <w:szCs w:val="28"/>
        </w:rPr>
        <w:t>第二十三条</w:t>
      </w:r>
      <w:r>
        <w:rPr>
          <w:rFonts w:ascii="宋体" w:hAnsi="宋体" w:hint="eastAsia"/>
          <w:sz w:val="28"/>
          <w:szCs w:val="28"/>
        </w:rPr>
        <w:t xml:space="preserve"> 本办法由中国铸造协会负责解释。 </w:t>
      </w:r>
    </w:p>
    <w:p w14:paraId="37C16AE0" w14:textId="77777777" w:rsidR="00FB5C8E" w:rsidRDefault="00000000">
      <w:pPr>
        <w:spacing w:line="560" w:lineRule="exact"/>
        <w:rPr>
          <w:rFonts w:ascii="宋体" w:hAnsi="宋体" w:hint="eastAsia"/>
          <w:sz w:val="28"/>
          <w:szCs w:val="28"/>
        </w:rPr>
      </w:pPr>
      <w:r>
        <w:rPr>
          <w:rFonts w:ascii="宋体" w:hAnsi="宋体" w:hint="eastAsia"/>
          <w:b/>
          <w:bCs/>
          <w:sz w:val="28"/>
          <w:szCs w:val="28"/>
        </w:rPr>
        <w:t xml:space="preserve">第二十四条 </w:t>
      </w:r>
      <w:r>
        <w:rPr>
          <w:rFonts w:ascii="宋体" w:hAnsi="宋体" w:hint="eastAsia"/>
          <w:sz w:val="28"/>
          <w:szCs w:val="28"/>
        </w:rPr>
        <w:t>本办法自发布之日起施行。</w:t>
      </w:r>
    </w:p>
    <w:p w14:paraId="122DE9C5" w14:textId="67CBDFE0" w:rsidR="00FB5C8E" w:rsidRDefault="00FB5C8E">
      <w:pPr>
        <w:rPr>
          <w:rFonts w:ascii="仿宋" w:eastAsia="仿宋" w:hAnsi="仿宋" w:hint="eastAsia"/>
          <w:sz w:val="32"/>
          <w:szCs w:val="32"/>
        </w:rPr>
      </w:pPr>
    </w:p>
    <w:sectPr w:rsidR="00FB5C8E" w:rsidSect="00D30BCA">
      <w:headerReference w:type="even" r:id="rId8"/>
      <w:headerReference w:type="default" r:id="rId9"/>
      <w:footerReference w:type="even" r:id="rId10"/>
      <w:footerReference w:type="default" r:id="rId11"/>
      <w:pgSz w:w="11906" w:h="16839"/>
      <w:pgMar w:top="2098" w:right="1474" w:bottom="1985" w:left="1588" w:header="624" w:footer="1361" w:gutter="0"/>
      <w:pgNumType w:fmt="numberInDash"/>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717F" w14:textId="77777777" w:rsidR="0069606E" w:rsidRDefault="0069606E">
      <w:r>
        <w:separator/>
      </w:r>
    </w:p>
  </w:endnote>
  <w:endnote w:type="continuationSeparator" w:id="0">
    <w:p w14:paraId="0E79FCAF" w14:textId="77777777" w:rsidR="0069606E" w:rsidRDefault="0069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FA3EF4BE-137A-4967-B007-AB79C41E1AEF}"/>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CD963EB6-C5FB-4219-A4DE-D3FD610763FF}"/>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631307"/>
    </w:sdtPr>
    <w:sdtEndPr>
      <w:rPr>
        <w:rFonts w:ascii="宋体" w:hAnsi="宋体"/>
        <w:sz w:val="28"/>
        <w:szCs w:val="28"/>
      </w:rPr>
    </w:sdtEndPr>
    <w:sdtContent>
      <w:p w14:paraId="65A1AEBE" w14:textId="77777777" w:rsidR="00FB5C8E" w:rsidRDefault="00000000" w:rsidP="009B77DE">
        <w:pPr>
          <w:pStyle w:val="a3"/>
          <w:ind w:firstLineChars="157" w:firstLine="283"/>
          <w:rPr>
            <w:rStyle w:val="NormalCharacter"/>
            <w:rFonts w:ascii="宋体" w:hAnsi="宋体" w:hint="eastAsia"/>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436804"/>
    </w:sdtPr>
    <w:sdtContent>
      <w:p w14:paraId="1A2E30A5" w14:textId="77777777" w:rsidR="00FB5C8E" w:rsidRDefault="00000000" w:rsidP="009B77DE">
        <w:pPr>
          <w:pStyle w:val="a3"/>
          <w:wordWrap w:val="0"/>
          <w:ind w:rightChars="93" w:right="195"/>
          <w:jc w:val="right"/>
          <w:rPr>
            <w:rStyle w:val="NormalCharacter"/>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r>
          <w:rPr>
            <w:rFonts w:hint="eastAsia"/>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4FF1B" w14:textId="77777777" w:rsidR="0069606E" w:rsidRDefault="0069606E">
      <w:r>
        <w:separator/>
      </w:r>
    </w:p>
  </w:footnote>
  <w:footnote w:type="continuationSeparator" w:id="0">
    <w:p w14:paraId="0B8F0636" w14:textId="77777777" w:rsidR="0069606E" w:rsidRDefault="00696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C4B9" w14:textId="77777777" w:rsidR="00FB5C8E" w:rsidRDefault="00FB5C8E">
    <w:pPr>
      <w:pStyle w:val="a5"/>
      <w:pBdr>
        <w:bottom w:val="none" w:sz="0" w:space="0" w:color="auto"/>
      </w:pBdr>
      <w:rPr>
        <w:rStyle w:val="NormalCharact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DD97" w14:textId="77777777" w:rsidR="00FB5C8E" w:rsidRDefault="00FB5C8E">
    <w:pPr>
      <w:pStyle w:val="a5"/>
      <w:pBdr>
        <w:bottom w:val="none" w:sz="0" w:space="0" w:color="auto"/>
      </w:pBdr>
      <w:rPr>
        <w:rStyle w:val="NormalCharact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E8A23"/>
    <w:multiLevelType w:val="singleLevel"/>
    <w:tmpl w:val="276E8A23"/>
    <w:lvl w:ilvl="0">
      <w:start w:val="2"/>
      <w:numFmt w:val="chineseCounting"/>
      <w:suff w:val="nothing"/>
      <w:lvlText w:val="%1、"/>
      <w:lvlJc w:val="left"/>
      <w:rPr>
        <w:rFonts w:hint="eastAsia"/>
      </w:rPr>
    </w:lvl>
  </w:abstractNum>
  <w:abstractNum w:abstractNumId="1" w15:restartNumberingAfterBreak="0">
    <w:nsid w:val="4B43BD01"/>
    <w:multiLevelType w:val="singleLevel"/>
    <w:tmpl w:val="4B43BD01"/>
    <w:lvl w:ilvl="0">
      <w:start w:val="1"/>
      <w:numFmt w:val="chineseCounting"/>
      <w:suff w:val="nothing"/>
      <w:lvlText w:val="%1、"/>
      <w:lvlJc w:val="left"/>
      <w:rPr>
        <w:rFonts w:hint="eastAsia"/>
      </w:rPr>
    </w:lvl>
  </w:abstractNum>
  <w:abstractNum w:abstractNumId="2" w15:restartNumberingAfterBreak="0">
    <w:nsid w:val="53CD2F16"/>
    <w:multiLevelType w:val="multilevel"/>
    <w:tmpl w:val="53CD2F16"/>
    <w:lvl w:ilvl="0">
      <w:numFmt w:val="bullet"/>
      <w:lvlText w:val="□"/>
      <w:lvlJc w:val="left"/>
      <w:pPr>
        <w:ind w:left="360" w:hanging="360"/>
      </w:pPr>
      <w:rPr>
        <w:rFonts w:ascii="宋体" w:eastAsia="宋体" w:hAnsi="宋体" w:cs="Times New Roman" w:hint="eastAsia"/>
        <w:u w:val="none"/>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64782756">
    <w:abstractNumId w:val="1"/>
  </w:num>
  <w:num w:numId="2" w16cid:durableId="311761857">
    <w:abstractNumId w:val="2"/>
  </w:num>
  <w:num w:numId="3" w16cid:durableId="37165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D75"/>
    <w:rsid w:val="00004052"/>
    <w:rsid w:val="00117A76"/>
    <w:rsid w:val="00131CFA"/>
    <w:rsid w:val="00140F35"/>
    <w:rsid w:val="00164D29"/>
    <w:rsid w:val="001D04B3"/>
    <w:rsid w:val="001F0E1D"/>
    <w:rsid w:val="00271820"/>
    <w:rsid w:val="002F750C"/>
    <w:rsid w:val="003050F1"/>
    <w:rsid w:val="003145C2"/>
    <w:rsid w:val="003E49EF"/>
    <w:rsid w:val="00406E07"/>
    <w:rsid w:val="00431D5B"/>
    <w:rsid w:val="004326BD"/>
    <w:rsid w:val="004479D6"/>
    <w:rsid w:val="004654DF"/>
    <w:rsid w:val="004943E7"/>
    <w:rsid w:val="004A5F92"/>
    <w:rsid w:val="004D63D1"/>
    <w:rsid w:val="005333D2"/>
    <w:rsid w:val="00554D75"/>
    <w:rsid w:val="0056215A"/>
    <w:rsid w:val="005922F2"/>
    <w:rsid w:val="006368A1"/>
    <w:rsid w:val="00692DB1"/>
    <w:rsid w:val="0069606E"/>
    <w:rsid w:val="006B704A"/>
    <w:rsid w:val="006E4777"/>
    <w:rsid w:val="007061BC"/>
    <w:rsid w:val="007607C3"/>
    <w:rsid w:val="007636EF"/>
    <w:rsid w:val="00764CF9"/>
    <w:rsid w:val="00781CB0"/>
    <w:rsid w:val="007B152B"/>
    <w:rsid w:val="00853107"/>
    <w:rsid w:val="00863B59"/>
    <w:rsid w:val="00872D32"/>
    <w:rsid w:val="0088667F"/>
    <w:rsid w:val="0095000F"/>
    <w:rsid w:val="009B77DE"/>
    <w:rsid w:val="009C4D44"/>
    <w:rsid w:val="009F7C90"/>
    <w:rsid w:val="00AA1125"/>
    <w:rsid w:val="00AC7CF9"/>
    <w:rsid w:val="00B05838"/>
    <w:rsid w:val="00B078DF"/>
    <w:rsid w:val="00B12D60"/>
    <w:rsid w:val="00B143F8"/>
    <w:rsid w:val="00B15335"/>
    <w:rsid w:val="00B44081"/>
    <w:rsid w:val="00B5572F"/>
    <w:rsid w:val="00BD4BBA"/>
    <w:rsid w:val="00C17D05"/>
    <w:rsid w:val="00C36051"/>
    <w:rsid w:val="00CB77A0"/>
    <w:rsid w:val="00CC4DDA"/>
    <w:rsid w:val="00CF3ED9"/>
    <w:rsid w:val="00D30BCA"/>
    <w:rsid w:val="00D57FD5"/>
    <w:rsid w:val="00E33DAE"/>
    <w:rsid w:val="00F0479B"/>
    <w:rsid w:val="00F349E3"/>
    <w:rsid w:val="00F35202"/>
    <w:rsid w:val="00F5094C"/>
    <w:rsid w:val="00F63D29"/>
    <w:rsid w:val="00FB0BDF"/>
    <w:rsid w:val="00FB5C8E"/>
    <w:rsid w:val="041A5E0B"/>
    <w:rsid w:val="049A32F5"/>
    <w:rsid w:val="04FA68C4"/>
    <w:rsid w:val="052A1BD0"/>
    <w:rsid w:val="05EA4B8A"/>
    <w:rsid w:val="110076AA"/>
    <w:rsid w:val="135305C1"/>
    <w:rsid w:val="16770A0E"/>
    <w:rsid w:val="18E65685"/>
    <w:rsid w:val="19616AF3"/>
    <w:rsid w:val="1BE966A9"/>
    <w:rsid w:val="1BFC2ACA"/>
    <w:rsid w:val="1E422931"/>
    <w:rsid w:val="221B0E79"/>
    <w:rsid w:val="27DC212D"/>
    <w:rsid w:val="295910C8"/>
    <w:rsid w:val="299E4487"/>
    <w:rsid w:val="29B06E37"/>
    <w:rsid w:val="2C317A54"/>
    <w:rsid w:val="2D5704A8"/>
    <w:rsid w:val="2E494294"/>
    <w:rsid w:val="320C63DA"/>
    <w:rsid w:val="3566572C"/>
    <w:rsid w:val="36573044"/>
    <w:rsid w:val="39F87855"/>
    <w:rsid w:val="3AA04B47"/>
    <w:rsid w:val="3C720E5A"/>
    <w:rsid w:val="3CCD7C2C"/>
    <w:rsid w:val="3EEC55FE"/>
    <w:rsid w:val="404D0D18"/>
    <w:rsid w:val="4088240D"/>
    <w:rsid w:val="43650CAE"/>
    <w:rsid w:val="43F65ECD"/>
    <w:rsid w:val="44285248"/>
    <w:rsid w:val="44354C47"/>
    <w:rsid w:val="47E01189"/>
    <w:rsid w:val="4B8D27CA"/>
    <w:rsid w:val="4BE9191D"/>
    <w:rsid w:val="4C7736F3"/>
    <w:rsid w:val="4F5368C9"/>
    <w:rsid w:val="52572AAC"/>
    <w:rsid w:val="54B64188"/>
    <w:rsid w:val="575516E1"/>
    <w:rsid w:val="589715D5"/>
    <w:rsid w:val="593F3A1A"/>
    <w:rsid w:val="5A3410A5"/>
    <w:rsid w:val="5A6F20DD"/>
    <w:rsid w:val="5D3D4452"/>
    <w:rsid w:val="5D700646"/>
    <w:rsid w:val="5DF765ED"/>
    <w:rsid w:val="5E7168E8"/>
    <w:rsid w:val="60593614"/>
    <w:rsid w:val="605D6713"/>
    <w:rsid w:val="6428235A"/>
    <w:rsid w:val="67B75D64"/>
    <w:rsid w:val="68C161FA"/>
    <w:rsid w:val="6A0665BA"/>
    <w:rsid w:val="6C6E0447"/>
    <w:rsid w:val="6C981FAB"/>
    <w:rsid w:val="6E3A6587"/>
    <w:rsid w:val="72BB015E"/>
    <w:rsid w:val="73035CB9"/>
    <w:rsid w:val="73987BC5"/>
    <w:rsid w:val="74A6785C"/>
    <w:rsid w:val="769A11A6"/>
    <w:rsid w:val="77702295"/>
    <w:rsid w:val="78ED0288"/>
    <w:rsid w:val="790571DA"/>
    <w:rsid w:val="7A8F7F06"/>
    <w:rsid w:val="7BF02C26"/>
    <w:rsid w:val="7CFB5D27"/>
    <w:rsid w:val="7D8E0CD4"/>
    <w:rsid w:val="7ED918AA"/>
    <w:rsid w:val="7EDF6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0CC85D34"/>
  <w15:docId w15:val="{352A7A06-5B9C-44C9-B64D-40010549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textAlignment w:val="baseline"/>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qFormat/>
    <w:pPr>
      <w:spacing w:after="120" w:line="480" w:lineRule="auto"/>
      <w:ind w:leftChars="200" w:left="420"/>
    </w:pPr>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000000"/>
      </w:pBdr>
      <w:tabs>
        <w:tab w:val="center" w:pos="4153"/>
        <w:tab w:val="right" w:pos="8306"/>
      </w:tabs>
      <w:snapToGrid w:val="0"/>
      <w:jc w:val="center"/>
    </w:pPr>
    <w:rPr>
      <w:sz w:val="18"/>
      <w:szCs w:val="18"/>
    </w:rPr>
  </w:style>
  <w:style w:type="paragraph" w:styleId="a7">
    <w:name w:val="Title"/>
    <w:basedOn w:val="a"/>
    <w:next w:val="a"/>
    <w:qFormat/>
    <w:pPr>
      <w:spacing w:before="240" w:after="60"/>
      <w:jc w:val="center"/>
    </w:pPr>
    <w:rPr>
      <w:rFonts w:ascii="Arial" w:hAnsi="Arial"/>
      <w:sz w:val="32"/>
    </w:rPr>
  </w:style>
  <w:style w:type="paragraph" w:customStyle="1" w:styleId="Heading1">
    <w:name w:val="Heading1"/>
    <w:basedOn w:val="a"/>
    <w:next w:val="a"/>
    <w:qFormat/>
    <w:pPr>
      <w:spacing w:line="428" w:lineRule="exact"/>
      <w:ind w:left="462"/>
    </w:pPr>
    <w:rPr>
      <w:rFonts w:ascii="等线" w:eastAsia="等线" w:hAnsi="等线" w:cs="等线"/>
      <w:sz w:val="32"/>
      <w:szCs w:val="32"/>
    </w:rPr>
  </w:style>
  <w:style w:type="paragraph" w:customStyle="1" w:styleId="Heading2">
    <w:name w:val="Heading2"/>
    <w:basedOn w:val="a"/>
    <w:next w:val="a"/>
    <w:qFormat/>
    <w:pPr>
      <w:ind w:left="165"/>
    </w:pPr>
    <w:rPr>
      <w:rFonts w:ascii="仿宋" w:eastAsia="仿宋" w:hAnsi="仿宋" w:cs="仿宋"/>
      <w:sz w:val="28"/>
      <w:szCs w:val="28"/>
    </w:rPr>
  </w:style>
  <w:style w:type="character" w:customStyle="1" w:styleId="NormalCharacter">
    <w:name w:val="NormalCharacter"/>
    <w:qFormat/>
  </w:style>
  <w:style w:type="table" w:customStyle="1" w:styleId="TableNormal">
    <w:name w:val="TableNormal"/>
    <w:qFormat/>
    <w:tblPr>
      <w:tblCellMar>
        <w:top w:w="0" w:type="dxa"/>
        <w:left w:w="0" w:type="dxa"/>
        <w:bottom w:w="0" w:type="dxa"/>
        <w:right w:w="0" w:type="dxa"/>
      </w:tblCellMar>
    </w:tblPr>
  </w:style>
  <w:style w:type="character" w:customStyle="1" w:styleId="a4">
    <w:name w:val="页脚 字符"/>
    <w:basedOn w:val="NormalCharacter"/>
    <w:link w:val="a3"/>
    <w:uiPriority w:val="99"/>
    <w:qFormat/>
    <w:rPr>
      <w:rFonts w:ascii="Calibri" w:hAnsi="Calibri"/>
      <w:kern w:val="2"/>
      <w:sz w:val="18"/>
      <w:szCs w:val="18"/>
    </w:rPr>
  </w:style>
  <w:style w:type="character" w:customStyle="1" w:styleId="a6">
    <w:name w:val="页眉 字符"/>
    <w:basedOn w:val="NormalCharacter"/>
    <w:link w:val="a5"/>
    <w:qFormat/>
    <w:rPr>
      <w:rFonts w:ascii="Calibri" w:hAnsi="Calibri"/>
      <w:kern w:val="2"/>
      <w:sz w:val="18"/>
      <w:szCs w:val="18"/>
    </w:rPr>
  </w:style>
  <w:style w:type="character" w:customStyle="1" w:styleId="UserStyle2">
    <w:name w:val="UserStyle_2"/>
    <w:basedOn w:val="NormalCharacter"/>
    <w:qFormat/>
  </w:style>
  <w:style w:type="character" w:customStyle="1" w:styleId="UserStyle3">
    <w:name w:val="UserStyle_3"/>
    <w:basedOn w:val="NormalCharacter"/>
    <w:link w:val="Acetate"/>
    <w:qFormat/>
    <w:rPr>
      <w:kern w:val="2"/>
      <w:sz w:val="18"/>
      <w:szCs w:val="18"/>
    </w:rPr>
  </w:style>
  <w:style w:type="paragraph" w:customStyle="1" w:styleId="Acetate">
    <w:name w:val="Acetate"/>
    <w:basedOn w:val="a"/>
    <w:link w:val="UserStyle3"/>
    <w:qFormat/>
    <w:rPr>
      <w:sz w:val="18"/>
      <w:szCs w:val="18"/>
    </w:rPr>
  </w:style>
  <w:style w:type="paragraph" w:customStyle="1" w:styleId="HtmlNormal">
    <w:name w:val="HtmlNormal"/>
    <w:basedOn w:val="a"/>
    <w:qFormat/>
    <w:pPr>
      <w:spacing w:beforeAutospacing="1" w:afterAutospacing="1"/>
      <w:jc w:val="left"/>
    </w:pPr>
    <w:rPr>
      <w:kern w:val="0"/>
      <w:sz w:val="24"/>
    </w:rPr>
  </w:style>
  <w:style w:type="paragraph" w:customStyle="1" w:styleId="179">
    <w:name w:val="179"/>
    <w:basedOn w:val="a"/>
    <w:qFormat/>
    <w:pPr>
      <w:spacing w:before="43"/>
      <w:ind w:left="991" w:hanging="350"/>
    </w:pPr>
  </w:style>
  <w:style w:type="paragraph" w:customStyle="1" w:styleId="UserStyle4">
    <w:name w:val="UserStyle_4"/>
    <w:basedOn w:val="a"/>
    <w:qFormat/>
  </w:style>
  <w:style w:type="paragraph" w:customStyle="1" w:styleId="BodyText">
    <w:name w:val="BodyText"/>
    <w:basedOn w:val="a"/>
    <w:qFormat/>
    <w:pPr>
      <w:spacing w:before="43"/>
    </w:pPr>
    <w:rPr>
      <w:sz w:val="24"/>
      <w:szCs w:val="24"/>
    </w:rPr>
  </w:style>
  <w:style w:type="paragraph" w:customStyle="1" w:styleId="UserStyle5">
    <w:name w:val="UserStyle_5"/>
    <w:basedOn w:val="a7"/>
    <w:qFormat/>
  </w:style>
  <w:style w:type="table" w:customStyle="1" w:styleId="UserStyle6">
    <w:name w:val="UserStyle_6"/>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cfa</dc:creator>
  <cp:lastModifiedBy>庄弋</cp:lastModifiedBy>
  <cp:revision>6</cp:revision>
  <cp:lastPrinted>2026-01-22T09:34:00Z</cp:lastPrinted>
  <dcterms:created xsi:type="dcterms:W3CDTF">2026-01-22T09:23:00Z</dcterms:created>
  <dcterms:modified xsi:type="dcterms:W3CDTF">2026-01-23T05:32:00Z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eyJoZGlkIjoiZGE1M2U0MDliMWMzODJiYTFjNDY0MDVlODg3NmQyNDciLCJ1c2VySWQiOiIxMjk3MDU3NDk1In0=</vt:lpwstr>
  </property>
  <property fmtid="{D5CDD505-2E9C-101B-9397-08002B2CF9AE}" pid="4" name="ICV">
    <vt:lpwstr>7AE94DE9D7F348E6A069A302B88E1563_13</vt:lpwstr>
  </property>
</Properties>
</file>