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B3AEB">
      <w:pPr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drawing>
          <wp:inline distT="0" distB="0" distL="114300" distR="114300">
            <wp:extent cx="822325" cy="355600"/>
            <wp:effectExtent l="0" t="0" r="15875" b="6350"/>
            <wp:docPr id="1" name="图片 1" descr="C:\Users\ASUS\Desktop\71230ada1f5f5efd65e3411b6e909de.jpg71230ada1f5f5efd65e3411b6e909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SUS\Desktop\71230ada1f5f5efd65e3411b6e909de.jpg71230ada1f5f5efd65e3411b6e909de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663D3">
      <w:pPr>
        <w:spacing w:before="156" w:beforeLines="50"/>
        <w:jc w:val="center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1</w:t>
      </w:r>
      <w:r>
        <w:rPr>
          <w:rFonts w:ascii="Times New Roman" w:hAnsi="Times New Roman" w:eastAsia="宋体" w:cs="Times New Roman"/>
          <w:b/>
          <w:bCs/>
          <w:szCs w:val="21"/>
        </w:rPr>
        <w:t>0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分钟快速去内毒素</w:t>
      </w:r>
      <w:r>
        <w:rPr>
          <w:rFonts w:ascii="Times New Roman" w:hAnsi="Times New Roman" w:eastAsia="宋体" w:cs="Times New Roman"/>
          <w:b/>
          <w:bCs/>
          <w:szCs w:val="21"/>
        </w:rPr>
        <w:t>质粒小提试剂盒简明说明书（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BW-</w:t>
      </w:r>
      <w:r>
        <w:rPr>
          <w:rFonts w:ascii="Times New Roman" w:hAnsi="Times New Roman" w:eastAsia="宋体" w:cs="Times New Roman"/>
          <w:b/>
          <w:bCs/>
          <w:szCs w:val="21"/>
        </w:rPr>
        <w:t>PD121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9</w:t>
      </w:r>
      <w:r>
        <w:rPr>
          <w:rFonts w:ascii="Times New Roman" w:hAnsi="Times New Roman" w:eastAsia="宋体" w:cs="Times New Roman"/>
          <w:b/>
          <w:bCs/>
          <w:szCs w:val="21"/>
        </w:rPr>
        <w:t>）</w:t>
      </w:r>
    </w:p>
    <w:p w14:paraId="1397C7C4">
      <w:pPr>
        <w:spacing w:before="156" w:beforeLines="50"/>
        <w:jc w:val="right"/>
        <w:rPr>
          <w:rFonts w:ascii="Times New Roman" w:hAnsi="Times New Roman" w:eastAsia="宋体" w:cs="Times New Roman"/>
          <w:b/>
          <w:bCs/>
          <w:sz w:val="18"/>
          <w:szCs w:val="18"/>
        </w:rPr>
      </w:pPr>
      <w:r>
        <w:rPr>
          <w:rFonts w:hint="default" w:ascii="Times New Roman" w:hAnsi="Times New Roman" w:eastAsia="宋体" w:cs="Times New Roman"/>
          <w:b/>
          <w:bCs/>
          <w:i/>
          <w:sz w:val="18"/>
          <w:szCs w:val="21"/>
          <w:lang w:eastAsia="zh-CN"/>
        </w:rPr>
        <w:t>Ver</w:t>
      </w:r>
      <w:r>
        <w:rPr>
          <w:rFonts w:hint="default" w:ascii="Times New Roman" w:hAnsi="Times New Roman" w:eastAsia="宋体" w:cs="Times New Roman"/>
          <w:b/>
          <w:bCs/>
          <w:i/>
          <w:sz w:val="18"/>
          <w:szCs w:val="21"/>
          <w:lang w:val="en-US" w:eastAsia="zh-CN"/>
        </w:rPr>
        <w:t>:</w:t>
      </w:r>
      <w:r>
        <w:rPr>
          <w:rFonts w:hint="default" w:ascii="Times New Roman" w:hAnsi="Times New Roman" w:cs="Times New Roman"/>
          <w:b/>
          <w:bCs/>
          <w:i/>
          <w:sz w:val="18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/>
          <w:sz w:val="18"/>
          <w:szCs w:val="21"/>
          <w:lang w:eastAsia="zh-CN"/>
        </w:rPr>
        <w:t>1</w:t>
      </w:r>
      <w:r>
        <w:rPr>
          <w:rFonts w:hint="default" w:ascii="Times New Roman" w:hAnsi="Times New Roman" w:cs="Times New Roman"/>
          <w:b/>
          <w:bCs/>
          <w:i/>
          <w:sz w:val="18"/>
          <w:szCs w:val="21"/>
          <w:lang w:val="en-US" w:eastAsia="zh-CN"/>
        </w:rPr>
        <w:t>904</w:t>
      </w:r>
    </w:p>
    <w:p w14:paraId="5A5C3980">
      <w:pPr>
        <w:spacing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产品简介</w:t>
      </w:r>
    </w:p>
    <w:p w14:paraId="1AB348D5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本试剂盒</w:t>
      </w:r>
      <w:r>
        <w:rPr>
          <w:rFonts w:hint="eastAsia" w:ascii="Times New Roman" w:hAnsi="Times New Roman" w:eastAsia="宋体" w:cs="Times New Roman"/>
          <w:sz w:val="18"/>
          <w:szCs w:val="18"/>
        </w:rPr>
        <w:t>的关键在于使用专利Lysate Clearance Column，使得1-2 mL大肠杆菌菌液在30秒内过滤裂解液。整个提取过程仅需要10分钟。而且缓冲液系统中不含离液盐，它是目前市场上唯一一种基于玻纤的环保型质粒小提试剂盒。</w:t>
      </w:r>
    </w:p>
    <w:p w14:paraId="408F1F83">
      <w:pPr>
        <w:spacing w:after="78" w:afterLines="25" w:line="300" w:lineRule="auto"/>
        <w:rPr>
          <w:rFonts w:hint="eastAsia"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该试剂盒使用一种独特的缓冲液，可从质粒DNA中去除内毒素。纯化得到的质粒可用于下游应用例如内毒素敏感细胞系、原代细胞的转染及显微注射。</w:t>
      </w:r>
    </w:p>
    <w:p w14:paraId="1FD8BB60">
      <w:pPr>
        <w:spacing w:after="78" w:afterLines="25" w:line="30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产品构成</w:t>
      </w:r>
    </w:p>
    <w:tbl>
      <w:tblPr>
        <w:tblStyle w:val="7"/>
        <w:tblW w:w="4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882"/>
        <w:gridCol w:w="850"/>
        <w:gridCol w:w="1009"/>
      </w:tblGrid>
      <w:tr w14:paraId="1A9CA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shd w:val="clear" w:color="auto" w:fill="0070C0"/>
            <w:vAlign w:val="center"/>
          </w:tcPr>
          <w:p w14:paraId="0C178D39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Catalog#</w:t>
            </w:r>
          </w:p>
        </w:tc>
        <w:tc>
          <w:tcPr>
            <w:tcW w:w="882" w:type="dxa"/>
            <w:shd w:val="clear" w:color="auto" w:fill="0070C0"/>
            <w:vAlign w:val="center"/>
          </w:tcPr>
          <w:p w14:paraId="6F1CA6AE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-00</w:t>
            </w:r>
          </w:p>
        </w:tc>
        <w:tc>
          <w:tcPr>
            <w:tcW w:w="850" w:type="dxa"/>
            <w:shd w:val="clear" w:color="auto" w:fill="0070C0"/>
            <w:vAlign w:val="center"/>
          </w:tcPr>
          <w:p w14:paraId="35C75002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-01</w:t>
            </w:r>
          </w:p>
        </w:tc>
        <w:tc>
          <w:tcPr>
            <w:tcW w:w="1009" w:type="dxa"/>
            <w:shd w:val="clear" w:color="auto" w:fill="0070C0"/>
            <w:vAlign w:val="center"/>
          </w:tcPr>
          <w:p w14:paraId="20747712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-0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</w:rPr>
              <w:t>2</w:t>
            </w:r>
          </w:p>
        </w:tc>
      </w:tr>
      <w:tr w14:paraId="666DC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91" w:type="dxa"/>
            <w:vAlign w:val="center"/>
          </w:tcPr>
          <w:p w14:paraId="391F77BE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Preps</w:t>
            </w:r>
          </w:p>
        </w:tc>
        <w:tc>
          <w:tcPr>
            <w:tcW w:w="882" w:type="dxa"/>
            <w:vAlign w:val="center"/>
          </w:tcPr>
          <w:p w14:paraId="6DCEB729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14:paraId="1B8CB790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50</w:t>
            </w:r>
          </w:p>
        </w:tc>
        <w:tc>
          <w:tcPr>
            <w:tcW w:w="1009" w:type="dxa"/>
            <w:vAlign w:val="center"/>
          </w:tcPr>
          <w:p w14:paraId="2128869A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250</w:t>
            </w:r>
          </w:p>
        </w:tc>
      </w:tr>
      <w:tr w14:paraId="3FA0E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vAlign w:val="center"/>
          </w:tcPr>
          <w:p w14:paraId="02FFE704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Mini Columns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 (White ring)</w:t>
            </w:r>
          </w:p>
        </w:tc>
        <w:tc>
          <w:tcPr>
            <w:tcW w:w="882" w:type="dxa"/>
            <w:vAlign w:val="center"/>
          </w:tcPr>
          <w:p w14:paraId="708C8233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14:paraId="7C340429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50</w:t>
            </w:r>
          </w:p>
        </w:tc>
        <w:tc>
          <w:tcPr>
            <w:tcW w:w="1009" w:type="dxa"/>
            <w:vAlign w:val="center"/>
          </w:tcPr>
          <w:p w14:paraId="1F01A67F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250</w:t>
            </w:r>
          </w:p>
        </w:tc>
      </w:tr>
      <w:tr w14:paraId="404B6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vAlign w:val="center"/>
          </w:tcPr>
          <w:p w14:paraId="356DE895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Lysate Clearance Columns (Green ring)</w:t>
            </w:r>
          </w:p>
        </w:tc>
        <w:tc>
          <w:tcPr>
            <w:tcW w:w="882" w:type="dxa"/>
            <w:vAlign w:val="center"/>
          </w:tcPr>
          <w:p w14:paraId="4764C4E7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14:paraId="4DD88791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50</w:t>
            </w:r>
          </w:p>
        </w:tc>
        <w:tc>
          <w:tcPr>
            <w:tcW w:w="1009" w:type="dxa"/>
            <w:vAlign w:val="center"/>
          </w:tcPr>
          <w:p w14:paraId="3E748D6F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250</w:t>
            </w:r>
          </w:p>
        </w:tc>
      </w:tr>
      <w:tr w14:paraId="245C2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vAlign w:val="center"/>
          </w:tcPr>
          <w:p w14:paraId="2092817F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 mL Collection Tubes</w:t>
            </w:r>
          </w:p>
        </w:tc>
        <w:tc>
          <w:tcPr>
            <w:tcW w:w="882" w:type="dxa"/>
            <w:vAlign w:val="center"/>
          </w:tcPr>
          <w:p w14:paraId="67C76CEB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14:paraId="0E19C032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50</w:t>
            </w:r>
          </w:p>
        </w:tc>
        <w:tc>
          <w:tcPr>
            <w:tcW w:w="1009" w:type="dxa"/>
            <w:vAlign w:val="center"/>
          </w:tcPr>
          <w:p w14:paraId="4844D3E9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250</w:t>
            </w:r>
          </w:p>
        </w:tc>
      </w:tr>
      <w:tr w14:paraId="1AA52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shd w:val="clear" w:color="auto" w:fill="auto"/>
            <w:vAlign w:val="center"/>
          </w:tcPr>
          <w:p w14:paraId="52562E6C">
            <w:pPr>
              <w:jc w:val="left"/>
              <w:rPr>
                <w:rFonts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Buffer GBL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EC2D7B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8 mL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9E394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30 mL</w:t>
            </w:r>
          </w:p>
        </w:tc>
        <w:tc>
          <w:tcPr>
            <w:tcW w:w="1009" w:type="dxa"/>
            <w:vAlign w:val="center"/>
          </w:tcPr>
          <w:p w14:paraId="5C915D59">
            <w:pPr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150 mL</w:t>
            </w:r>
          </w:p>
        </w:tc>
      </w:tr>
      <w:tr w14:paraId="1517E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vAlign w:val="center"/>
          </w:tcPr>
          <w:p w14:paraId="520C74C4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Buffer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F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</w:t>
            </w:r>
          </w:p>
        </w:tc>
        <w:tc>
          <w:tcPr>
            <w:tcW w:w="882" w:type="dxa"/>
            <w:vAlign w:val="center"/>
          </w:tcPr>
          <w:p w14:paraId="49500C09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2.4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850" w:type="dxa"/>
            <w:vAlign w:val="center"/>
          </w:tcPr>
          <w:p w14:paraId="2A9E9A21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1009" w:type="dxa"/>
            <w:vAlign w:val="center"/>
          </w:tcPr>
          <w:p w14:paraId="514770B2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60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</w:tr>
      <w:tr w14:paraId="6F34F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vAlign w:val="center"/>
          </w:tcPr>
          <w:p w14:paraId="06065418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Buffer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F2</w:t>
            </w:r>
          </w:p>
        </w:tc>
        <w:tc>
          <w:tcPr>
            <w:tcW w:w="882" w:type="dxa"/>
            <w:vAlign w:val="center"/>
          </w:tcPr>
          <w:p w14:paraId="77F17E8B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2.4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850" w:type="dxa"/>
            <w:vAlign w:val="center"/>
          </w:tcPr>
          <w:p w14:paraId="3115A812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1009" w:type="dxa"/>
            <w:vAlign w:val="center"/>
          </w:tcPr>
          <w:p w14:paraId="45C0F0A6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60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</w:tr>
      <w:tr w14:paraId="20411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vAlign w:val="center"/>
          </w:tcPr>
          <w:p w14:paraId="54F8D903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Buffer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F3</w:t>
            </w:r>
          </w:p>
        </w:tc>
        <w:tc>
          <w:tcPr>
            <w:tcW w:w="882" w:type="dxa"/>
            <w:vAlign w:val="center"/>
          </w:tcPr>
          <w:p w14:paraId="5EAD8618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2.4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850" w:type="dxa"/>
            <w:vAlign w:val="center"/>
          </w:tcPr>
          <w:p w14:paraId="02113D92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1009" w:type="dxa"/>
            <w:vAlign w:val="center"/>
          </w:tcPr>
          <w:p w14:paraId="6A09FBCD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0 mL</w:t>
            </w:r>
          </w:p>
        </w:tc>
      </w:tr>
      <w:tr w14:paraId="1A2B2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vAlign w:val="center"/>
          </w:tcPr>
          <w:p w14:paraId="1D75D8B9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Buffer RET</w:t>
            </w:r>
          </w:p>
        </w:tc>
        <w:tc>
          <w:tcPr>
            <w:tcW w:w="882" w:type="dxa"/>
            <w:vAlign w:val="center"/>
          </w:tcPr>
          <w:p w14:paraId="2E02283B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2.4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850" w:type="dxa"/>
            <w:vAlign w:val="center"/>
          </w:tcPr>
          <w:p w14:paraId="369E55B2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1009" w:type="dxa"/>
            <w:vAlign w:val="center"/>
          </w:tcPr>
          <w:p w14:paraId="7CB37682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0 mL</w:t>
            </w:r>
          </w:p>
        </w:tc>
      </w:tr>
      <w:tr w14:paraId="21765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vAlign w:val="center"/>
          </w:tcPr>
          <w:p w14:paraId="648AF02E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Buffer KB</w:t>
            </w:r>
          </w:p>
        </w:tc>
        <w:tc>
          <w:tcPr>
            <w:tcW w:w="882" w:type="dxa"/>
            <w:vAlign w:val="center"/>
          </w:tcPr>
          <w:p w14:paraId="1B51F807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6 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mL</w:t>
            </w:r>
          </w:p>
        </w:tc>
        <w:tc>
          <w:tcPr>
            <w:tcW w:w="850" w:type="dxa"/>
            <w:vAlign w:val="center"/>
          </w:tcPr>
          <w:p w14:paraId="79481E7F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1009" w:type="dxa"/>
            <w:vAlign w:val="center"/>
          </w:tcPr>
          <w:p w14:paraId="3253AB87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</w:tr>
      <w:tr w14:paraId="488DC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vAlign w:val="center"/>
          </w:tcPr>
          <w:p w14:paraId="1517D3DA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DNA Wash Buffer*</w:t>
            </w:r>
          </w:p>
        </w:tc>
        <w:tc>
          <w:tcPr>
            <w:tcW w:w="882" w:type="dxa"/>
            <w:vAlign w:val="center"/>
          </w:tcPr>
          <w:p w14:paraId="280B94EF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850" w:type="dxa"/>
            <w:vAlign w:val="center"/>
          </w:tcPr>
          <w:p w14:paraId="07A41DEB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1009" w:type="dxa"/>
            <w:vAlign w:val="center"/>
          </w:tcPr>
          <w:p w14:paraId="30678FB2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</w:tr>
      <w:tr w14:paraId="09DFB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vAlign w:val="center"/>
          </w:tcPr>
          <w:p w14:paraId="2BCB71F6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Endofree 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Elution Buffer</w:t>
            </w:r>
          </w:p>
        </w:tc>
        <w:tc>
          <w:tcPr>
            <w:tcW w:w="882" w:type="dxa"/>
            <w:vAlign w:val="center"/>
          </w:tcPr>
          <w:p w14:paraId="26D3D3E7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850" w:type="dxa"/>
            <w:vAlign w:val="center"/>
          </w:tcPr>
          <w:p w14:paraId="62A68A78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1009" w:type="dxa"/>
            <w:vAlign w:val="center"/>
          </w:tcPr>
          <w:p w14:paraId="5BCEE560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</w:tr>
      <w:tr w14:paraId="40235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vAlign w:val="center"/>
          </w:tcPr>
          <w:p w14:paraId="1BCD8B9C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RNase A (20 mg/mL)</w:t>
            </w:r>
          </w:p>
        </w:tc>
        <w:tc>
          <w:tcPr>
            <w:tcW w:w="882" w:type="dxa"/>
            <w:vAlign w:val="center"/>
          </w:tcPr>
          <w:p w14:paraId="3D3505D2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μL</w:t>
            </w:r>
          </w:p>
        </w:tc>
        <w:tc>
          <w:tcPr>
            <w:tcW w:w="850" w:type="dxa"/>
            <w:vAlign w:val="center"/>
          </w:tcPr>
          <w:p w14:paraId="277A966D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60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μL</w:t>
            </w:r>
          </w:p>
        </w:tc>
        <w:tc>
          <w:tcPr>
            <w:tcW w:w="1009" w:type="dxa"/>
            <w:vAlign w:val="center"/>
          </w:tcPr>
          <w:p w14:paraId="40D8EF43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μL</w:t>
            </w:r>
          </w:p>
        </w:tc>
      </w:tr>
      <w:tr w14:paraId="601B4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1" w:type="dxa"/>
            <w:vAlign w:val="center"/>
          </w:tcPr>
          <w:p w14:paraId="6E23D599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User Manual</w:t>
            </w:r>
          </w:p>
        </w:tc>
        <w:tc>
          <w:tcPr>
            <w:tcW w:w="882" w:type="dxa"/>
            <w:vAlign w:val="center"/>
          </w:tcPr>
          <w:p w14:paraId="5656A4FB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15CBCCE2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</w:t>
            </w:r>
          </w:p>
        </w:tc>
        <w:tc>
          <w:tcPr>
            <w:tcW w:w="1009" w:type="dxa"/>
            <w:vAlign w:val="center"/>
          </w:tcPr>
          <w:p w14:paraId="6C89EE26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</w:t>
            </w:r>
          </w:p>
        </w:tc>
      </w:tr>
    </w:tbl>
    <w:p w14:paraId="6A811D90">
      <w:pPr>
        <w:spacing w:before="156" w:beforeLines="50" w:after="156" w:afterLines="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要点</w:t>
      </w:r>
    </w:p>
    <w:p w14:paraId="212B677D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Buffer F1</w:t>
      </w:r>
      <w:r>
        <w:rPr>
          <w:rFonts w:ascii="Times New Roman" w:hAnsi="Times New Roman" w:eastAsia="宋体" w:cs="Times New Roman"/>
          <w:sz w:val="18"/>
          <w:szCs w:val="18"/>
        </w:rPr>
        <w:t xml:space="preserve">：使用前将提供的所有RNase A瞬时离心后加入Buffer </w:t>
      </w:r>
      <w:r>
        <w:rPr>
          <w:rFonts w:hint="eastAsia" w:ascii="Times New Roman" w:hAnsi="Times New Roman" w:eastAsia="宋体" w:cs="Times New Roman"/>
          <w:sz w:val="18"/>
          <w:szCs w:val="18"/>
        </w:rPr>
        <w:t>F</w:t>
      </w:r>
      <w:r>
        <w:rPr>
          <w:rFonts w:ascii="Times New Roman" w:hAnsi="Times New Roman" w:eastAsia="宋体" w:cs="Times New Roman"/>
          <w:sz w:val="18"/>
          <w:szCs w:val="18"/>
        </w:rPr>
        <w:t>1</w:t>
      </w:r>
      <w:r>
        <w:rPr>
          <w:rFonts w:hint="eastAsia" w:ascii="Times New Roman" w:hAnsi="Times New Roman" w:eastAsia="宋体" w:cs="Times New Roman"/>
          <w:sz w:val="18"/>
          <w:szCs w:val="18"/>
        </w:rPr>
        <w:t>，Buffer F1/RNase A储存于4</w:t>
      </w:r>
      <w:r>
        <w:rPr>
          <w:rFonts w:ascii="Times New Roman" w:hAnsi="Times New Roman" w:eastAsia="宋体" w:cs="Times New Roman"/>
          <w:sz w:val="18"/>
          <w:szCs w:val="18"/>
        </w:rPr>
        <w:t>℃。</w:t>
      </w:r>
    </w:p>
    <w:p w14:paraId="33EA1E9E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 xml:space="preserve">Buffer </w:t>
      </w:r>
      <w:r>
        <w:rPr>
          <w:rFonts w:hint="eastAsia" w:ascii="Times New Roman" w:hAnsi="Times New Roman" w:eastAsia="宋体" w:cs="Times New Roman"/>
          <w:sz w:val="18"/>
          <w:szCs w:val="18"/>
        </w:rPr>
        <w:t>F2</w:t>
      </w:r>
      <w:r>
        <w:rPr>
          <w:rFonts w:ascii="Times New Roman" w:hAnsi="Times New Roman" w:eastAsia="宋体" w:cs="Times New Roman"/>
          <w:sz w:val="18"/>
          <w:szCs w:val="18"/>
        </w:rPr>
        <w:t>：</w:t>
      </w:r>
      <w:r>
        <w:rPr>
          <w:rFonts w:hint="eastAsia" w:ascii="Times New Roman" w:hAnsi="Times New Roman" w:eastAsia="宋体" w:cs="Times New Roman"/>
          <w:sz w:val="18"/>
          <w:szCs w:val="18"/>
        </w:rPr>
        <w:t>若形成</w:t>
      </w:r>
      <w:r>
        <w:rPr>
          <w:rFonts w:ascii="Times New Roman" w:hAnsi="Times New Roman" w:eastAsia="宋体" w:cs="Times New Roman"/>
          <w:sz w:val="18"/>
          <w:szCs w:val="18"/>
        </w:rPr>
        <w:t>沉淀，</w:t>
      </w:r>
      <w:r>
        <w:rPr>
          <w:rFonts w:hint="eastAsia" w:ascii="Times New Roman" w:hAnsi="Times New Roman" w:eastAsia="宋体" w:cs="Times New Roman"/>
          <w:sz w:val="18"/>
          <w:szCs w:val="18"/>
        </w:rPr>
        <w:t>使用前</w:t>
      </w:r>
      <w:r>
        <w:rPr>
          <w:rFonts w:ascii="Times New Roman" w:hAnsi="Times New Roman" w:eastAsia="宋体" w:cs="Times New Roman"/>
          <w:sz w:val="18"/>
          <w:szCs w:val="18"/>
        </w:rPr>
        <w:t>请于37℃水浴加热至沉淀完全溶解。</w:t>
      </w:r>
    </w:p>
    <w:p w14:paraId="1EF5FAF4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DNA Wash Buffer：使用前请将</w:t>
      </w:r>
      <w:r>
        <w:rPr>
          <w:rFonts w:hint="eastAsia" w:ascii="Times New Roman" w:hAnsi="Times New Roman" w:eastAsia="宋体" w:cs="Times New Roman"/>
          <w:sz w:val="18"/>
          <w:szCs w:val="18"/>
        </w:rPr>
        <w:t>12</w:t>
      </w:r>
      <w:r>
        <w:rPr>
          <w:rFonts w:ascii="Times New Roman" w:hAnsi="Times New Roman" w:eastAsia="宋体" w:cs="Times New Roman"/>
          <w:sz w:val="18"/>
          <w:szCs w:val="18"/>
        </w:rPr>
        <w:t xml:space="preserve"> mL</w:t>
      </w:r>
      <w:r>
        <w:rPr>
          <w:rFonts w:hint="eastAsia" w:ascii="Times New Roman" w:hAnsi="Times New Roman" w:eastAsia="宋体" w:cs="Times New Roman"/>
          <w:sz w:val="18"/>
          <w:szCs w:val="18"/>
        </w:rPr>
        <w:t>（BW-</w:t>
      </w:r>
      <w:r>
        <w:rPr>
          <w:rFonts w:ascii="Times New Roman" w:hAnsi="Times New Roman" w:eastAsia="宋体" w:cs="Times New Roman"/>
          <w:sz w:val="18"/>
          <w:szCs w:val="18"/>
        </w:rPr>
        <w:t>PD121</w:t>
      </w:r>
      <w:r>
        <w:rPr>
          <w:rFonts w:hint="eastAsia" w:ascii="Times New Roman" w:hAnsi="Times New Roman" w:eastAsia="宋体" w:cs="Times New Roman"/>
          <w:sz w:val="18"/>
          <w:szCs w:val="18"/>
        </w:rPr>
        <w:t>9</w:t>
      </w:r>
      <w:r>
        <w:rPr>
          <w:rFonts w:ascii="Times New Roman" w:hAnsi="Times New Roman" w:eastAsia="宋体" w:cs="Times New Roman"/>
          <w:sz w:val="18"/>
          <w:szCs w:val="18"/>
        </w:rPr>
        <w:t>-00</w:t>
      </w:r>
      <w:r>
        <w:rPr>
          <w:rFonts w:hint="eastAsia" w:ascii="Times New Roman" w:hAnsi="Times New Roman" w:eastAsia="宋体" w:cs="Times New Roman"/>
          <w:sz w:val="18"/>
          <w:szCs w:val="18"/>
        </w:rPr>
        <w:t>）</w:t>
      </w:r>
      <w:r>
        <w:rPr>
          <w:rFonts w:ascii="Times New Roman" w:hAnsi="Times New Roman" w:eastAsia="宋体" w:cs="Times New Roman"/>
          <w:sz w:val="18"/>
          <w:szCs w:val="18"/>
        </w:rPr>
        <w:t>或</w:t>
      </w:r>
      <w:r>
        <w:rPr>
          <w:rFonts w:hint="eastAsia" w:ascii="Times New Roman" w:hAnsi="Times New Roman" w:eastAsia="宋体" w:cs="Times New Roman"/>
          <w:sz w:val="18"/>
          <w:szCs w:val="18"/>
        </w:rPr>
        <w:t>28</w:t>
      </w:r>
      <w:r>
        <w:rPr>
          <w:rFonts w:ascii="Times New Roman" w:hAnsi="Times New Roman" w:eastAsia="宋体" w:cs="Times New Roman"/>
          <w:sz w:val="18"/>
          <w:szCs w:val="18"/>
        </w:rPr>
        <w:t xml:space="preserve"> mL</w:t>
      </w:r>
      <w:r>
        <w:rPr>
          <w:rFonts w:hint="eastAsia" w:ascii="Times New Roman" w:hAnsi="Times New Roman" w:eastAsia="宋体" w:cs="Times New Roman"/>
          <w:sz w:val="18"/>
          <w:szCs w:val="18"/>
        </w:rPr>
        <w:t>（BW-</w:t>
      </w:r>
      <w:r>
        <w:rPr>
          <w:rFonts w:ascii="Times New Roman" w:hAnsi="Times New Roman" w:eastAsia="宋体" w:cs="Times New Roman"/>
          <w:sz w:val="18"/>
          <w:szCs w:val="18"/>
        </w:rPr>
        <w:t>PD121</w:t>
      </w:r>
      <w:r>
        <w:rPr>
          <w:rFonts w:hint="eastAsia" w:ascii="Times New Roman" w:hAnsi="Times New Roman" w:eastAsia="宋体" w:cs="Times New Roman"/>
          <w:sz w:val="18"/>
          <w:szCs w:val="18"/>
        </w:rPr>
        <w:t>9</w:t>
      </w:r>
      <w:r>
        <w:rPr>
          <w:rFonts w:ascii="Times New Roman" w:hAnsi="Times New Roman" w:eastAsia="宋体" w:cs="Times New Roman"/>
          <w:sz w:val="18"/>
          <w:szCs w:val="18"/>
        </w:rPr>
        <w:t>-01</w:t>
      </w:r>
      <w:r>
        <w:rPr>
          <w:rFonts w:hint="eastAsia" w:ascii="Times New Roman" w:hAnsi="Times New Roman" w:eastAsia="宋体" w:cs="Times New Roman"/>
          <w:sz w:val="18"/>
          <w:szCs w:val="18"/>
        </w:rPr>
        <w:t>）</w:t>
      </w:r>
      <w:r>
        <w:rPr>
          <w:rFonts w:ascii="Times New Roman" w:hAnsi="Times New Roman" w:eastAsia="宋体" w:cs="Times New Roman"/>
          <w:sz w:val="18"/>
          <w:szCs w:val="18"/>
        </w:rPr>
        <w:t>或</w:t>
      </w:r>
      <w:r>
        <w:rPr>
          <w:rFonts w:hint="eastAsia" w:ascii="Times New Roman" w:hAnsi="Times New Roman" w:eastAsia="宋体" w:cs="Times New Roman"/>
          <w:sz w:val="18"/>
          <w:szCs w:val="18"/>
        </w:rPr>
        <w:t>140</w:t>
      </w:r>
      <w:r>
        <w:rPr>
          <w:rFonts w:ascii="Times New Roman" w:hAnsi="Times New Roman" w:eastAsia="宋体" w:cs="Times New Roman"/>
          <w:sz w:val="18"/>
          <w:szCs w:val="18"/>
        </w:rPr>
        <w:t xml:space="preserve"> mL</w:t>
      </w:r>
      <w:r>
        <w:rPr>
          <w:rFonts w:hint="eastAsia" w:ascii="Times New Roman" w:hAnsi="Times New Roman" w:eastAsia="宋体" w:cs="Times New Roman"/>
          <w:sz w:val="18"/>
          <w:szCs w:val="18"/>
        </w:rPr>
        <w:t>（BW-</w:t>
      </w:r>
      <w:r>
        <w:rPr>
          <w:rFonts w:ascii="Times New Roman" w:hAnsi="Times New Roman" w:eastAsia="宋体" w:cs="Times New Roman"/>
          <w:sz w:val="18"/>
          <w:szCs w:val="18"/>
        </w:rPr>
        <w:t>PD121</w:t>
      </w:r>
      <w:r>
        <w:rPr>
          <w:rFonts w:hint="eastAsia" w:ascii="Times New Roman" w:hAnsi="Times New Roman" w:eastAsia="宋体" w:cs="Times New Roman"/>
          <w:sz w:val="18"/>
          <w:szCs w:val="18"/>
        </w:rPr>
        <w:t>9</w:t>
      </w:r>
      <w:r>
        <w:rPr>
          <w:rFonts w:ascii="Times New Roman" w:hAnsi="Times New Roman" w:eastAsia="宋体" w:cs="Times New Roman"/>
          <w:sz w:val="18"/>
          <w:szCs w:val="18"/>
        </w:rPr>
        <w:t>-0</w:t>
      </w:r>
      <w:r>
        <w:rPr>
          <w:rFonts w:hint="eastAsia" w:ascii="Times New Roman" w:hAnsi="Times New Roman" w:eastAsia="宋体" w:cs="Times New Roman"/>
          <w:sz w:val="18"/>
          <w:szCs w:val="18"/>
        </w:rPr>
        <w:t>2）</w:t>
      </w:r>
      <w:r>
        <w:rPr>
          <w:rFonts w:ascii="Times New Roman" w:hAnsi="Times New Roman" w:eastAsia="宋体" w:cs="Times New Roman"/>
          <w:sz w:val="18"/>
          <w:szCs w:val="18"/>
        </w:rPr>
        <w:t>96-100%乙醇加入至</w:t>
      </w:r>
      <w:r>
        <w:rPr>
          <w:rFonts w:hint="eastAsia" w:ascii="Times New Roman" w:hAnsi="Times New Roman" w:eastAsia="宋体" w:cs="Times New Roman"/>
          <w:sz w:val="18"/>
          <w:szCs w:val="18"/>
        </w:rPr>
        <w:t>每个</w:t>
      </w:r>
      <w:r>
        <w:rPr>
          <w:rFonts w:ascii="Times New Roman" w:hAnsi="Times New Roman" w:eastAsia="宋体" w:cs="Times New Roman"/>
          <w:sz w:val="18"/>
          <w:szCs w:val="18"/>
        </w:rPr>
        <w:t>DNA Wash Buffer瓶内。</w:t>
      </w:r>
    </w:p>
    <w:p w14:paraId="2938A513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产品贮存及稳定性</w:t>
      </w:r>
    </w:p>
    <w:p w14:paraId="653D5414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 xml:space="preserve">本试剂盒自生产之日起可保存12个月。所有试剂及用品可保存于室温（15-25℃）。加入RNase A后的Buffer </w:t>
      </w:r>
      <w:r>
        <w:rPr>
          <w:rFonts w:hint="eastAsia" w:ascii="Times New Roman" w:hAnsi="Times New Roman" w:eastAsia="宋体" w:cs="Times New Roman"/>
          <w:sz w:val="18"/>
          <w:szCs w:val="18"/>
        </w:rPr>
        <w:t>F</w:t>
      </w:r>
      <w:r>
        <w:rPr>
          <w:rFonts w:ascii="Times New Roman" w:hAnsi="Times New Roman" w:eastAsia="宋体" w:cs="Times New Roman"/>
          <w:sz w:val="18"/>
          <w:szCs w:val="18"/>
        </w:rPr>
        <w:t>1后应储存于4℃。</w:t>
      </w:r>
    </w:p>
    <w:p w14:paraId="0ECB5331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实验前需准备的材料</w:t>
      </w:r>
    </w:p>
    <w:p w14:paraId="6BB23F23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96-100%乙醇</w:t>
      </w:r>
    </w:p>
    <w:p w14:paraId="6F85D5CC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小型台式离心机</w:t>
      </w:r>
      <w:r>
        <w:rPr>
          <w:rFonts w:hint="eastAsia" w:ascii="Times New Roman" w:hAnsi="Times New Roman" w:eastAsia="宋体" w:cs="Times New Roman"/>
          <w:sz w:val="18"/>
          <w:szCs w:val="18"/>
        </w:rPr>
        <w:t>或真空负压装置</w:t>
      </w:r>
    </w:p>
    <w:p w14:paraId="7E84FB62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1.5 mL离心管</w:t>
      </w:r>
    </w:p>
    <w:p w14:paraId="29757A7F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操作步骤</w:t>
      </w:r>
    </w:p>
    <w:p w14:paraId="4D3801EA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12,000 rpm离心1 min</w:t>
      </w:r>
      <w:r>
        <w:rPr>
          <w:rFonts w:hint="eastAsia" w:ascii="Times New Roman" w:hAnsi="Times New Roman" w:eastAsia="宋体" w:cs="Times New Roman"/>
          <w:sz w:val="18"/>
          <w:szCs w:val="18"/>
        </w:rPr>
        <w:t>收集</w:t>
      </w:r>
      <w:r>
        <w:rPr>
          <w:rFonts w:ascii="Times New Roman" w:hAnsi="Times New Roman" w:eastAsia="宋体" w:cs="Times New Roman"/>
          <w:sz w:val="18"/>
          <w:szCs w:val="18"/>
          <w:u w:val="single"/>
        </w:rPr>
        <w:t>新鲜的</w:t>
      </w:r>
      <w:r>
        <w:rPr>
          <w:rFonts w:ascii="Times New Roman" w:hAnsi="Times New Roman" w:eastAsia="宋体" w:cs="Times New Roman"/>
          <w:b/>
          <w:bCs/>
          <w:i/>
          <w:iCs/>
          <w:color w:val="0000FF"/>
          <w:sz w:val="18"/>
          <w:szCs w:val="18"/>
        </w:rPr>
        <w:t>1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18"/>
          <w:szCs w:val="18"/>
        </w:rPr>
        <w:t>-</w:t>
      </w:r>
      <w:r>
        <w:rPr>
          <w:rFonts w:ascii="Times New Roman" w:hAnsi="Times New Roman" w:eastAsia="宋体" w:cs="Times New Roman"/>
          <w:b/>
          <w:bCs/>
          <w:i/>
          <w:iCs/>
          <w:color w:val="0000FF"/>
          <w:sz w:val="18"/>
          <w:szCs w:val="18"/>
        </w:rPr>
        <w:t>2 mL</w:t>
      </w:r>
      <w:r>
        <w:rPr>
          <w:rFonts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sz w:val="18"/>
          <w:szCs w:val="18"/>
        </w:rPr>
        <w:t>菌液</w:t>
      </w:r>
      <w:r>
        <w:rPr>
          <w:rFonts w:ascii="Times New Roman" w:hAnsi="Times New Roman" w:eastAsia="宋体" w:cs="Times New Roman"/>
          <w:sz w:val="18"/>
          <w:szCs w:val="18"/>
        </w:rPr>
        <w:t>，弃上清，将管子倒置于纸巾上，去除残留培养基。</w:t>
      </w:r>
    </w:p>
    <w:p w14:paraId="4984DA15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柱平衡：</w:t>
      </w:r>
      <w:r>
        <w:rPr>
          <w:rFonts w:hint="eastAsia" w:ascii="Times New Roman" w:hAnsi="Times New Roman" w:eastAsia="宋体" w:cs="Times New Roman"/>
          <w:sz w:val="18"/>
          <w:szCs w:val="18"/>
        </w:rPr>
        <w:t>向吸附柱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 xml:space="preserve">Mini 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Column</w:t>
      </w:r>
      <w:r>
        <w:rPr>
          <w:rFonts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sz w:val="18"/>
          <w:szCs w:val="18"/>
        </w:rPr>
        <w:t>中加入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500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0000FF"/>
          <w:sz w:val="18"/>
          <w:szCs w:val="18"/>
        </w:rPr>
        <w:t>μL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Buffer GBL</w:t>
      </w:r>
      <w:r>
        <w:rPr>
          <w:rFonts w:hint="eastAsia" w:ascii="Times New Roman" w:hAnsi="Times New Roman" w:eastAsia="宋体" w:cs="Times New Roman"/>
          <w:sz w:val="18"/>
          <w:szCs w:val="18"/>
        </w:rPr>
        <w:t>，12</w:t>
      </w:r>
      <w:r>
        <w:rPr>
          <w:rFonts w:ascii="Times New Roman" w:hAnsi="Times New Roman" w:eastAsia="宋体" w:cs="Times New Roman"/>
          <w:sz w:val="18"/>
          <w:szCs w:val="18"/>
        </w:rPr>
        <w:t>,000 ×g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 离心1分钟，弃去收集管中的滤液，将吸附柱重新放回收集管中备用（处理完请于当天使用）。</w:t>
      </w:r>
    </w:p>
    <w:p w14:paraId="0281965D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20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0 μL</w:t>
      </w:r>
      <w:r>
        <w:rPr>
          <w:rFonts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Buffer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F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1 (</w:t>
      </w:r>
      <w:r>
        <w:rPr>
          <w:rFonts w:ascii="Times New Roman" w:hAnsi="Times New Roman" w:eastAsia="宋体" w:cs="Times New Roman"/>
          <w:sz w:val="18"/>
          <w:szCs w:val="18"/>
        </w:rPr>
        <w:t>使用前加入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RNase A</w:t>
      </w:r>
      <w:r>
        <w:rPr>
          <w:rFonts w:ascii="Times New Roman" w:hAnsi="Times New Roman" w:eastAsia="宋体" w:cs="Times New Roman"/>
          <w:sz w:val="18"/>
          <w:szCs w:val="18"/>
        </w:rPr>
        <w:t>)，用移液器或涡旋震荡仪充分悬浮细菌细胞。</w:t>
      </w:r>
    </w:p>
    <w:p w14:paraId="5846ACC2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充分重悬对于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细菌裂解和裂解液中和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是至关重要的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。</w:t>
      </w:r>
    </w:p>
    <w:p w14:paraId="6008FB9C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20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0 μL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Buffer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F2</w:t>
      </w:r>
      <w:r>
        <w:rPr>
          <w:rFonts w:ascii="Times New Roman" w:hAnsi="Times New Roman" w:eastAsia="宋体" w:cs="Times New Roman"/>
          <w:sz w:val="18"/>
          <w:szCs w:val="18"/>
        </w:rPr>
        <w:t>，轻轻地反转10次以混匀（不要涡旋），室温静置</w:t>
      </w:r>
      <w:r>
        <w:rPr>
          <w:rFonts w:hint="eastAsia" w:ascii="Times New Roman" w:hAnsi="Times New Roman" w:eastAsia="宋体" w:cs="Times New Roman"/>
          <w:sz w:val="18"/>
          <w:szCs w:val="18"/>
        </w:rPr>
        <w:t>1-2</w:t>
      </w:r>
      <w:r>
        <w:rPr>
          <w:rFonts w:ascii="Times New Roman" w:hAnsi="Times New Roman" w:eastAsia="宋体" w:cs="Times New Roman"/>
          <w:sz w:val="18"/>
          <w:szCs w:val="18"/>
        </w:rPr>
        <w:t xml:space="preserve"> min</w:t>
      </w:r>
      <w:r>
        <w:rPr>
          <w:rFonts w:hint="eastAsia" w:ascii="Times New Roman" w:hAnsi="Times New Roman" w:eastAsia="宋体" w:cs="Times New Roman"/>
          <w:sz w:val="18"/>
          <w:szCs w:val="18"/>
        </w:rPr>
        <w:t>直至溶液变得澄清。</w:t>
      </w:r>
    </w:p>
    <w:p w14:paraId="5542A6D4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20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0 μL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Buffer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F3</w:t>
      </w:r>
      <w:r>
        <w:rPr>
          <w:rFonts w:ascii="Times New Roman" w:hAnsi="Times New Roman" w:eastAsia="宋体" w:cs="Times New Roman"/>
          <w:sz w:val="18"/>
          <w:szCs w:val="18"/>
        </w:rPr>
        <w:t>，立即反转5次以混匀</w:t>
      </w:r>
      <w:r>
        <w:rPr>
          <w:rFonts w:hint="eastAsia" w:ascii="Times New Roman" w:hAnsi="Times New Roman" w:eastAsia="宋体" w:cs="Times New Roman"/>
          <w:sz w:val="18"/>
          <w:szCs w:val="18"/>
        </w:rPr>
        <w:t>，室温孵育2 min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</w:p>
    <w:p w14:paraId="42D4D853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转移全部裂解液至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Lysate Clearance Column (Green ring)</w:t>
      </w:r>
      <w:r>
        <w:rPr>
          <w:rFonts w:hint="eastAsia" w:ascii="Times New Roman" w:hAnsi="Times New Roman" w:eastAsia="宋体" w:cs="Times New Roman"/>
          <w:sz w:val="18"/>
          <w:szCs w:val="18"/>
        </w:rPr>
        <w:t>，</w:t>
      </w:r>
      <w:r>
        <w:rPr>
          <w:rFonts w:ascii="Times New Roman" w:hAnsi="Times New Roman" w:eastAsia="宋体" w:cs="Times New Roman"/>
          <w:sz w:val="18"/>
          <w:szCs w:val="18"/>
        </w:rPr>
        <w:t>1</w:t>
      </w:r>
      <w:r>
        <w:rPr>
          <w:rFonts w:hint="eastAsia" w:ascii="Times New Roman" w:hAnsi="Times New Roman" w:eastAsia="宋体" w:cs="Times New Roman"/>
          <w:sz w:val="18"/>
          <w:szCs w:val="18"/>
        </w:rPr>
        <w:t>0</w:t>
      </w:r>
      <w:r>
        <w:rPr>
          <w:rFonts w:ascii="Times New Roman" w:hAnsi="Times New Roman" w:eastAsia="宋体" w:cs="Times New Roman"/>
          <w:sz w:val="18"/>
          <w:szCs w:val="18"/>
        </w:rPr>
        <w:t>,000 rpm离心</w:t>
      </w:r>
      <w:r>
        <w:rPr>
          <w:rFonts w:hint="eastAsia" w:ascii="Times New Roman" w:hAnsi="Times New Roman" w:eastAsia="宋体" w:cs="Times New Roman"/>
          <w:sz w:val="18"/>
          <w:szCs w:val="18"/>
        </w:rPr>
        <w:t>30 s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</w:p>
    <w:p w14:paraId="61BEA53F">
      <w:pPr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若裂解液仍旧在柱子内，再离心30 s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。</w:t>
      </w:r>
    </w:p>
    <w:p w14:paraId="423CFF21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丢弃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Lysate Clearance Column</w:t>
      </w:r>
      <w:r>
        <w:rPr>
          <w:rFonts w:hint="eastAsia" w:ascii="Times New Roman" w:hAnsi="Times New Roman" w:eastAsia="宋体" w:cs="Times New Roman"/>
          <w:sz w:val="18"/>
          <w:szCs w:val="18"/>
        </w:rPr>
        <w:t>，加入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200 µL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 xml:space="preserve"> Buffer RET</w:t>
      </w:r>
      <w:r>
        <w:rPr>
          <w:rFonts w:hint="eastAsia" w:ascii="TimesNewRomanPSMT" w:hAnsi="TimesNewRomanPSMT" w:eastAsia="TimesNewRomanPSMT" w:cs="TimesNewRomanPSMT"/>
          <w:color w:val="000000"/>
          <w:kern w:val="0"/>
          <w:sz w:val="18"/>
          <w:szCs w:val="18"/>
          <w:lang w:bidi="ar"/>
        </w:rPr>
        <w:t>和</w:t>
      </w:r>
      <w:r>
        <w:rPr>
          <w:rFonts w:hint="eastAsia" w:ascii="Times New Roman" w:hAnsi="Times New Roman" w:eastAsia="宋体" w:cs="Times New Roman"/>
          <w:sz w:val="18"/>
          <w:szCs w:val="18"/>
        </w:rPr>
        <w:t>200 µL</w:t>
      </w:r>
      <w:r>
        <w:rPr>
          <w:rFonts w:hint="eastAsia" w:ascii="TimesNewRomanPSMT" w:hAnsi="TimesNewRomanPSMT" w:eastAsia="TimesNewRomanPSMT" w:cs="TimesNewRomanPSMT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18"/>
          <w:szCs w:val="18"/>
        </w:rPr>
        <w:t>100%乙醇至含有滤液的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2 mL Collection Tube</w:t>
      </w:r>
      <w:r>
        <w:rPr>
          <w:rFonts w:hint="eastAsia" w:ascii="TimesNewRomanPSMT" w:hAnsi="TimesNewRomanPSMT" w:eastAsia="TimesNewRomanPSMT" w:cs="TimesNewRomanPSMT"/>
          <w:color w:val="000000"/>
          <w:kern w:val="0"/>
          <w:sz w:val="20"/>
          <w:szCs w:val="20"/>
          <w:lang w:bidi="ar"/>
        </w:rPr>
        <w:t>，</w:t>
      </w:r>
      <w:r>
        <w:rPr>
          <w:rFonts w:hint="eastAsia" w:ascii="Times New Roman" w:hAnsi="Times New Roman" w:eastAsia="宋体" w:cs="Times New Roman"/>
          <w:sz w:val="18"/>
          <w:szCs w:val="18"/>
        </w:rPr>
        <w:t>用枪头吹打混匀</w:t>
      </w:r>
      <w:r>
        <w:rPr>
          <w:rFonts w:hint="eastAsia" w:ascii="TimesNewRomanPSMT" w:hAnsi="TimesNewRomanPSMT" w:eastAsia="TimesNewRomanPSMT" w:cs="TimesNewRomanPSMT"/>
          <w:color w:val="000000"/>
          <w:kern w:val="0"/>
          <w:sz w:val="20"/>
          <w:szCs w:val="20"/>
          <w:lang w:bidi="ar"/>
        </w:rPr>
        <w:t>。</w:t>
      </w:r>
    </w:p>
    <w:p w14:paraId="0A809686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小心</w:t>
      </w:r>
      <w:r>
        <w:rPr>
          <w:rFonts w:ascii="Times New Roman" w:hAnsi="Times New Roman" w:eastAsia="宋体" w:cs="Times New Roman"/>
          <w:sz w:val="18"/>
          <w:szCs w:val="18"/>
        </w:rPr>
        <w:t>转移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750 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μL</w:t>
      </w:r>
      <w:r>
        <w:rPr>
          <w:rFonts w:ascii="Times New Roman" w:hAnsi="Times New Roman" w:eastAsia="宋体" w:cs="Times New Roman"/>
          <w:sz w:val="18"/>
          <w:szCs w:val="18"/>
        </w:rPr>
        <w:t>澄清的裂解液至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Mini Column（White ring）（</w:t>
      </w:r>
      <w:r>
        <w:rPr>
          <w:rFonts w:hint="eastAsia" w:ascii="Times New Roman" w:hAnsi="Times New Roman" w:eastAsia="宋体" w:cs="Times New Roman"/>
          <w:sz w:val="18"/>
          <w:szCs w:val="18"/>
        </w:rPr>
        <w:t>自带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2 mL Collection Tube）</w:t>
      </w:r>
      <w:r>
        <w:rPr>
          <w:rFonts w:hint="eastAsia" w:ascii="Times New Roman" w:hAnsi="Times New Roman" w:eastAsia="宋体" w:cs="Times New Roman"/>
          <w:sz w:val="18"/>
          <w:szCs w:val="18"/>
        </w:rPr>
        <w:t>，12,000 rpm离心30 s，弃滤液，将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Mini Column</w:t>
      </w:r>
      <w:r>
        <w:rPr>
          <w:rFonts w:hint="eastAsia" w:ascii="Times New Roman" w:hAnsi="Times New Roman" w:eastAsia="宋体" w:cs="Times New Roman"/>
          <w:sz w:val="18"/>
          <w:szCs w:val="18"/>
        </w:rPr>
        <w:t>放回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2 mL Collection Tube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  <w:r>
        <w:rPr>
          <w:rFonts w:hint="eastAsia" w:ascii="Times New Roman" w:hAnsi="Times New Roman" w:eastAsia="宋体" w:cs="Times New Roman"/>
          <w:sz w:val="18"/>
          <w:szCs w:val="18"/>
        </w:rPr>
        <w:t>重复步骤7直至所有裂解液通过。</w:t>
      </w:r>
    </w:p>
    <w:p w14:paraId="6006D0E2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可选：</w:t>
      </w: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500 µL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Buffer KB</w:t>
      </w:r>
      <w:r>
        <w:rPr>
          <w:rFonts w:ascii="Times New Roman" w:hAnsi="Times New Roman" w:eastAsia="宋体" w:cs="Times New Roman"/>
          <w:sz w:val="18"/>
          <w:szCs w:val="18"/>
        </w:rPr>
        <w:t>，12,000 rpm离心</w:t>
      </w:r>
      <w:r>
        <w:rPr>
          <w:rFonts w:hint="eastAsia" w:ascii="Times New Roman" w:hAnsi="Times New Roman" w:eastAsia="宋体" w:cs="Times New Roman"/>
          <w:sz w:val="18"/>
          <w:szCs w:val="18"/>
        </w:rPr>
        <w:t>30 s</w:t>
      </w:r>
      <w:r>
        <w:rPr>
          <w:rFonts w:ascii="Times New Roman" w:hAnsi="Times New Roman" w:eastAsia="宋体" w:cs="Times New Roman"/>
          <w:sz w:val="18"/>
          <w:szCs w:val="18"/>
        </w:rPr>
        <w:t>，弃滤液，将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Mini Column</w:t>
      </w:r>
      <w:r>
        <w:rPr>
          <w:rFonts w:ascii="Times New Roman" w:hAnsi="Times New Roman" w:eastAsia="宋体" w:cs="Times New Roman"/>
          <w:sz w:val="18"/>
          <w:szCs w:val="18"/>
        </w:rPr>
        <w:t>放回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2 mL Collection Tube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</w:p>
    <w:p w14:paraId="7513C258">
      <w:pPr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此步骤对于endA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-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菌株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例如DH5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α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和TOP10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而言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不是必要的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，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Buffer KB对于endA+菌株例如HB101，JM110，JM101及其衍生菌株是必要的。</w:t>
      </w:r>
    </w:p>
    <w:p w14:paraId="01172B07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600 µL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DNA Wash Buffer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sz w:val="18"/>
          <w:szCs w:val="18"/>
        </w:rPr>
        <w:t>（使用前确保加入乙醇）</w:t>
      </w:r>
      <w:r>
        <w:rPr>
          <w:rFonts w:ascii="Times New Roman" w:hAnsi="Times New Roman" w:eastAsia="宋体" w:cs="Times New Roman"/>
          <w:sz w:val="18"/>
          <w:szCs w:val="18"/>
        </w:rPr>
        <w:t>，12,000 rpm离心</w:t>
      </w:r>
      <w:r>
        <w:rPr>
          <w:rFonts w:hint="eastAsia" w:ascii="Times New Roman" w:hAnsi="Times New Roman" w:eastAsia="宋体" w:cs="Times New Roman"/>
          <w:sz w:val="18"/>
          <w:szCs w:val="18"/>
        </w:rPr>
        <w:t>30 s</w:t>
      </w:r>
      <w:r>
        <w:rPr>
          <w:rFonts w:ascii="Times New Roman" w:hAnsi="Times New Roman" w:eastAsia="宋体" w:cs="Times New Roman"/>
          <w:sz w:val="18"/>
          <w:szCs w:val="18"/>
        </w:rPr>
        <w:t>，弃滤液</w:t>
      </w:r>
      <w:r>
        <w:rPr>
          <w:rFonts w:hint="eastAsia" w:ascii="Times New Roman" w:hAnsi="Times New Roman" w:eastAsia="宋体" w:cs="Times New Roman"/>
          <w:sz w:val="18"/>
          <w:szCs w:val="18"/>
        </w:rPr>
        <w:t>。</w:t>
      </w:r>
    </w:p>
    <w:p w14:paraId="74C11D86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可选：</w:t>
      </w:r>
      <w:r>
        <w:rPr>
          <w:rFonts w:ascii="Times New Roman" w:hAnsi="Times New Roman" w:eastAsia="宋体" w:cs="Times New Roman"/>
          <w:sz w:val="18"/>
          <w:szCs w:val="18"/>
        </w:rPr>
        <w:t>重复步骤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  <w:lang w:val="en-US" w:eastAsia="zh-CN"/>
        </w:rPr>
        <w:t>10</w:t>
      </w:r>
      <w:bookmarkStart w:id="0" w:name="_GoBack"/>
      <w:bookmarkEnd w:id="0"/>
      <w:r>
        <w:rPr>
          <w:rFonts w:ascii="Times New Roman" w:hAnsi="Times New Roman" w:eastAsia="宋体" w:cs="Times New Roman"/>
          <w:sz w:val="18"/>
          <w:szCs w:val="18"/>
        </w:rPr>
        <w:t>。</w:t>
      </w:r>
    </w:p>
    <w:p w14:paraId="5996EFA9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Mini Column</w:t>
      </w:r>
      <w:r>
        <w:rPr>
          <w:rFonts w:ascii="Times New Roman" w:hAnsi="Times New Roman" w:eastAsia="宋体" w:cs="Times New Roman"/>
          <w:sz w:val="18"/>
          <w:szCs w:val="18"/>
        </w:rPr>
        <w:t>放回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2 mL Collection Tube</w:t>
      </w:r>
      <w:r>
        <w:rPr>
          <w:rFonts w:ascii="Times New Roman" w:hAnsi="Times New Roman" w:eastAsia="宋体" w:cs="Times New Roman"/>
          <w:sz w:val="18"/>
          <w:szCs w:val="18"/>
        </w:rPr>
        <w:t>，12,000 rpm离心</w:t>
      </w:r>
      <w:r>
        <w:rPr>
          <w:rFonts w:hint="eastAsia" w:ascii="Times New Roman" w:hAnsi="Times New Roman" w:eastAsia="宋体" w:cs="Times New Roman"/>
          <w:sz w:val="18"/>
          <w:szCs w:val="18"/>
        </w:rPr>
        <w:t>1</w:t>
      </w:r>
      <w:r>
        <w:rPr>
          <w:rFonts w:ascii="Times New Roman" w:hAnsi="Times New Roman" w:eastAsia="宋体" w:cs="Times New Roman"/>
          <w:sz w:val="18"/>
          <w:szCs w:val="18"/>
        </w:rPr>
        <w:t xml:space="preserve"> min。</w:t>
      </w:r>
    </w:p>
    <w:p w14:paraId="414F6142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开盖离心可更加有效地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去除残留乙醇。</w:t>
      </w:r>
    </w:p>
    <w:p w14:paraId="207C3B81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Mini Column</w:t>
      </w:r>
      <w:r>
        <w:rPr>
          <w:rFonts w:ascii="Times New Roman" w:hAnsi="Times New Roman" w:eastAsia="宋体" w:cs="Times New Roman"/>
          <w:sz w:val="18"/>
          <w:szCs w:val="18"/>
        </w:rPr>
        <w:t>转移至一个干净的1.5 mL离心管，在膜中央加入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5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0-1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0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0 μL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 xml:space="preserve">Endofree 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Elution Buffer</w:t>
      </w:r>
      <w:r>
        <w:rPr>
          <w:rFonts w:ascii="Times New Roman" w:hAnsi="Times New Roman" w:eastAsia="宋体" w:cs="Times New Roman"/>
          <w:sz w:val="18"/>
          <w:szCs w:val="18"/>
        </w:rPr>
        <w:t>，静置</w:t>
      </w:r>
      <w:r>
        <w:rPr>
          <w:rFonts w:hint="eastAsia" w:ascii="Times New Roman" w:hAnsi="Times New Roman" w:eastAsia="宋体" w:cs="Times New Roman"/>
          <w:sz w:val="18"/>
          <w:szCs w:val="18"/>
        </w:rPr>
        <w:t>1</w:t>
      </w:r>
      <w:r>
        <w:rPr>
          <w:rFonts w:ascii="Times New Roman" w:hAnsi="Times New Roman" w:eastAsia="宋体" w:cs="Times New Roman"/>
          <w:sz w:val="18"/>
          <w:szCs w:val="18"/>
        </w:rPr>
        <w:t xml:space="preserve"> min，12,000 rpm离心</w:t>
      </w:r>
      <w:r>
        <w:rPr>
          <w:rFonts w:hint="eastAsia" w:ascii="Times New Roman" w:hAnsi="Times New Roman" w:eastAsia="宋体" w:cs="Times New Roman"/>
          <w:sz w:val="18"/>
          <w:szCs w:val="18"/>
        </w:rPr>
        <w:t>30 s</w:t>
      </w:r>
      <w:r>
        <w:rPr>
          <w:rFonts w:ascii="Times New Roman" w:hAnsi="Times New Roman" w:eastAsia="宋体" w:cs="Times New Roman"/>
          <w:sz w:val="18"/>
          <w:szCs w:val="18"/>
        </w:rPr>
        <w:t>洗脱质粒DNA。</w:t>
      </w:r>
    </w:p>
    <w:p w14:paraId="46588E00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可选：</w:t>
      </w:r>
      <w:r>
        <w:rPr>
          <w:rFonts w:ascii="Times New Roman" w:hAnsi="Times New Roman" w:eastAsia="宋体" w:cs="Times New Roman"/>
          <w:sz w:val="18"/>
          <w:szCs w:val="18"/>
        </w:rPr>
        <w:t>将洗脱下来的液体重新上柱</w:t>
      </w:r>
      <w:r>
        <w:rPr>
          <w:rFonts w:hint="eastAsia" w:ascii="Times New Roman" w:hAnsi="Times New Roman" w:eastAsia="宋体" w:cs="Times New Roman"/>
          <w:sz w:val="18"/>
          <w:szCs w:val="18"/>
        </w:rPr>
        <w:t>，二次洗脱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</w:p>
    <w:p w14:paraId="4A285C3C">
      <w:pPr>
        <w:spacing w:before="78" w:beforeLines="25"/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第一次洗脱可得到大约70%的质粒DNA，将洗脱下来的溶液二次上柱会回收到另外20-30%的DNA。</w:t>
      </w:r>
    </w:p>
    <w:p w14:paraId="7C415F88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DNA浓度的确定，</w:t>
      </w:r>
    </w:p>
    <w:p w14:paraId="496FBBC3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color w:val="0000FF"/>
          <w:sz w:val="16"/>
          <w:szCs w:val="16"/>
        </w:rPr>
        <w:t>浓度（µg/mL）=OD</w:t>
      </w:r>
      <w:r>
        <w:rPr>
          <w:rFonts w:ascii="Times New Roman" w:hAnsi="Times New Roman" w:eastAsia="宋体" w:cs="Times New Roman"/>
          <w:color w:val="0000FF"/>
          <w:sz w:val="16"/>
          <w:szCs w:val="16"/>
          <w:vertAlign w:val="subscript"/>
        </w:rPr>
        <w:t>260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×50×稀释倍数</w:t>
      </w:r>
    </w:p>
    <w:p w14:paraId="25628F25">
      <w:pPr>
        <w:spacing w:after="78" w:afterLines="25" w:line="30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常见问题解答</w:t>
      </w:r>
    </w:p>
    <w:tbl>
      <w:tblPr>
        <w:tblStyle w:val="7"/>
        <w:tblW w:w="4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260"/>
        <w:gridCol w:w="2741"/>
      </w:tblGrid>
      <w:tr w14:paraId="2690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761" w:type="dxa"/>
            <w:shd w:val="clear" w:color="auto" w:fill="0070C0"/>
            <w:vAlign w:val="center"/>
          </w:tcPr>
          <w:p w14:paraId="1161BF58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问题</w:t>
            </w:r>
          </w:p>
        </w:tc>
        <w:tc>
          <w:tcPr>
            <w:tcW w:w="1260" w:type="dxa"/>
            <w:shd w:val="clear" w:color="auto" w:fill="0070C0"/>
            <w:vAlign w:val="center"/>
          </w:tcPr>
          <w:p w14:paraId="0A6C43B1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可能原因</w:t>
            </w:r>
          </w:p>
        </w:tc>
        <w:tc>
          <w:tcPr>
            <w:tcW w:w="2741" w:type="dxa"/>
            <w:shd w:val="clear" w:color="auto" w:fill="0070C0"/>
            <w:vAlign w:val="center"/>
          </w:tcPr>
          <w:p w14:paraId="49AD6228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建议</w:t>
            </w:r>
          </w:p>
        </w:tc>
      </w:tr>
      <w:tr w14:paraId="252CA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vMerge w:val="restart"/>
            <w:vAlign w:val="center"/>
          </w:tcPr>
          <w:p w14:paraId="6BE738E4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低得率</w:t>
            </w:r>
          </w:p>
        </w:tc>
        <w:tc>
          <w:tcPr>
            <w:tcW w:w="1260" w:type="dxa"/>
            <w:vMerge w:val="restart"/>
            <w:vAlign w:val="center"/>
          </w:tcPr>
          <w:p w14:paraId="55BFCDAD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裂解不完全</w:t>
            </w:r>
          </w:p>
        </w:tc>
        <w:tc>
          <w:tcPr>
            <w:tcW w:w="2741" w:type="dxa"/>
            <w:vAlign w:val="center"/>
          </w:tcPr>
          <w:p w14:paraId="21BF7B74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加入Buffer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F2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后充分混匀。</w:t>
            </w:r>
          </w:p>
        </w:tc>
      </w:tr>
      <w:tr w14:paraId="51D07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61" w:type="dxa"/>
            <w:vMerge w:val="continue"/>
            <w:vAlign w:val="center"/>
          </w:tcPr>
          <w:p w14:paraId="38791F91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67E1688A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2741" w:type="dxa"/>
            <w:vAlign w:val="center"/>
          </w:tcPr>
          <w:p w14:paraId="00F0D2F4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如果瓶盖没拧紧，重配Buffer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F2 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( 0.2 M NaOH和1% SDS).</w:t>
            </w:r>
          </w:p>
        </w:tc>
      </w:tr>
      <w:tr w14:paraId="0D5B7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vAlign w:val="center"/>
          </w:tcPr>
          <w:p w14:paraId="6426DDF3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2211ADF1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菌液过度培养或不新鲜</w:t>
            </w:r>
          </w:p>
        </w:tc>
        <w:tc>
          <w:tcPr>
            <w:tcW w:w="2741" w:type="dxa"/>
            <w:vAlign w:val="center"/>
          </w:tcPr>
          <w:p w14:paraId="44DF46BA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菌液培养12-16 h为佳，若当天来不及纯化，将菌液离心后收集菌体保存于-20℃。请勿将菌液置于4℃过夜。</w:t>
            </w:r>
          </w:p>
        </w:tc>
      </w:tr>
      <w:tr w14:paraId="10B15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61" w:type="dxa"/>
            <w:vAlign w:val="center"/>
          </w:tcPr>
          <w:p w14:paraId="20228612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没有DNA</w:t>
            </w:r>
          </w:p>
        </w:tc>
        <w:tc>
          <w:tcPr>
            <w:tcW w:w="1260" w:type="dxa"/>
            <w:vAlign w:val="center"/>
          </w:tcPr>
          <w:p w14:paraId="478E7CC6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质粒在宿主菌内丢失</w:t>
            </w:r>
          </w:p>
        </w:tc>
        <w:tc>
          <w:tcPr>
            <w:tcW w:w="2741" w:type="dxa"/>
            <w:vAlign w:val="center"/>
          </w:tcPr>
          <w:p w14:paraId="67F901B2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准备新鲜的菌液。</w:t>
            </w:r>
          </w:p>
        </w:tc>
      </w:tr>
      <w:tr w14:paraId="6CE4B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61" w:type="dxa"/>
            <w:vAlign w:val="center"/>
          </w:tcPr>
          <w:p w14:paraId="4E7A4914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基因组污染</w:t>
            </w:r>
          </w:p>
        </w:tc>
        <w:tc>
          <w:tcPr>
            <w:tcW w:w="1260" w:type="dxa"/>
            <w:vAlign w:val="center"/>
          </w:tcPr>
          <w:p w14:paraId="102EC2B9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加入Buffer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F2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后超过5 min</w:t>
            </w:r>
          </w:p>
        </w:tc>
        <w:tc>
          <w:tcPr>
            <w:tcW w:w="2741" w:type="dxa"/>
            <w:vAlign w:val="center"/>
          </w:tcPr>
          <w:p w14:paraId="639147A8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加入Buffer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F2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后不要剧烈震荡，孵育时间不要超过5 min。</w:t>
            </w:r>
          </w:p>
        </w:tc>
      </w:tr>
      <w:tr w14:paraId="65099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61" w:type="dxa"/>
            <w:vAlign w:val="center"/>
          </w:tcPr>
          <w:p w14:paraId="18D08A43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RNA污染</w:t>
            </w:r>
          </w:p>
        </w:tc>
        <w:tc>
          <w:tcPr>
            <w:tcW w:w="1260" w:type="dxa"/>
            <w:vAlign w:val="center"/>
          </w:tcPr>
          <w:p w14:paraId="63F27DF2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RNase A 没有加入至Buffer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F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</w:t>
            </w:r>
          </w:p>
        </w:tc>
        <w:tc>
          <w:tcPr>
            <w:tcW w:w="2741" w:type="dxa"/>
            <w:vAlign w:val="center"/>
          </w:tcPr>
          <w:p w14:paraId="78815466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在Buffer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 F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 中加入RNase A。</w:t>
            </w:r>
          </w:p>
        </w:tc>
      </w:tr>
      <w:tr w14:paraId="44D41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61" w:type="dxa"/>
            <w:vAlign w:val="center"/>
          </w:tcPr>
          <w:p w14:paraId="17523869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质粒跑出点样孔</w:t>
            </w:r>
          </w:p>
        </w:tc>
        <w:tc>
          <w:tcPr>
            <w:tcW w:w="1260" w:type="dxa"/>
            <w:vAlign w:val="center"/>
          </w:tcPr>
          <w:p w14:paraId="2111EDCF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乙醇没去干净</w:t>
            </w:r>
          </w:p>
        </w:tc>
        <w:tc>
          <w:tcPr>
            <w:tcW w:w="2741" w:type="dxa"/>
            <w:vAlign w:val="center"/>
          </w:tcPr>
          <w:p w14:paraId="7A70929C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洗脱前确保没有乙醇残留. 如果必要的话，可再次离心。</w:t>
            </w:r>
          </w:p>
        </w:tc>
      </w:tr>
    </w:tbl>
    <w:p w14:paraId="05B8B35B">
      <w:pPr>
        <w:spacing w:before="78" w:beforeLines="25"/>
        <w:jc w:val="right"/>
        <w:rPr>
          <w:rFonts w:ascii="Times New Roman" w:hAnsi="Times New Roman" w:eastAsia="宋体" w:cs="Times New Roman"/>
          <w:b/>
          <w:bCs/>
          <w:sz w:val="20"/>
          <w:szCs w:val="22"/>
        </w:rPr>
      </w:pPr>
    </w:p>
    <w:p w14:paraId="3A6EAE12">
      <w:pPr>
        <w:spacing w:before="78" w:beforeLines="25"/>
        <w:jc w:val="right"/>
        <w:rPr>
          <w:rFonts w:ascii="Times New Roman" w:hAnsi="Times New Roman" w:eastAsia="宋体" w:cs="Times New Roman"/>
          <w:b/>
          <w:bCs/>
          <w:sz w:val="20"/>
          <w:szCs w:val="22"/>
        </w:rPr>
      </w:pPr>
    </w:p>
    <w:p w14:paraId="47E22899">
      <w:pPr>
        <w:spacing w:before="78" w:beforeLines="25"/>
        <w:jc w:val="right"/>
        <w:rPr>
          <w:rFonts w:ascii="Times New Roman" w:hAnsi="Times New Roman" w:eastAsia="宋体" w:cs="Times New Roman"/>
          <w:b/>
          <w:bCs/>
          <w:sz w:val="20"/>
          <w:szCs w:val="22"/>
        </w:rPr>
      </w:pPr>
    </w:p>
    <w:p w14:paraId="582CF7BC">
      <w:pPr>
        <w:spacing w:before="78" w:beforeLines="25"/>
        <w:jc w:val="right"/>
        <w:rPr>
          <w:rFonts w:ascii="Times New Roman" w:hAnsi="Times New Roman" w:eastAsia="宋体" w:cs="Times New Roman"/>
          <w:b/>
          <w:bCs/>
          <w:sz w:val="20"/>
          <w:szCs w:val="22"/>
        </w:rPr>
      </w:pPr>
    </w:p>
    <w:p w14:paraId="4F2D143A">
      <w:pPr>
        <w:spacing w:before="78" w:beforeLines="25"/>
        <w:jc w:val="right"/>
        <w:rPr>
          <w:rFonts w:ascii="Times New Roman" w:hAnsi="Times New Roman" w:eastAsia="宋体" w:cs="Times New Roman"/>
          <w:b/>
          <w:bCs/>
          <w:sz w:val="20"/>
          <w:szCs w:val="22"/>
        </w:rPr>
      </w:pPr>
      <w:r>
        <w:rPr>
          <w:rFonts w:hint="eastAsia" w:ascii="Times New Roman" w:hAnsi="Times New Roman" w:eastAsia="宋体" w:cs="Times New Roman"/>
          <w:b/>
          <w:bCs/>
          <w:sz w:val="20"/>
          <w:szCs w:val="22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b/>
          <w:bCs/>
          <w:sz w:val="20"/>
          <w:szCs w:val="22"/>
        </w:rPr>
        <w:t>杭州倍沃医学科技有限公司</w:t>
      </w:r>
    </w:p>
    <w:p w14:paraId="5E6073A1">
      <w:pPr>
        <w:spacing w:before="78" w:beforeLines="25"/>
        <w:ind w:firstLine="2409" w:firstLineChars="1200"/>
        <w:jc w:val="righ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  <w:sz w:val="20"/>
          <w:szCs w:val="22"/>
        </w:rPr>
        <w:t>BIOMIGA（中国）</w:t>
      </w:r>
    </w:p>
    <w:p w14:paraId="61A54A6E">
      <w:pPr>
        <w:ind w:firstLine="2100" w:firstLineChars="1000"/>
        <w:jc w:val="right"/>
        <w:rPr>
          <w:color w:val="0000FF"/>
          <w:spacing w:val="-3"/>
          <w:u w:val="single" w:color="0000FF"/>
        </w:rPr>
      </w:pPr>
      <w:r>
        <w:fldChar w:fldCharType="begin"/>
      </w:r>
      <w:r>
        <w:instrText xml:space="preserve"> HYPERLINK "http://www.biomiga.com.cn/" \h </w:instrText>
      </w:r>
      <w:r>
        <w:fldChar w:fldCharType="separate"/>
      </w:r>
      <w:r>
        <w:rPr>
          <w:rFonts w:hint="eastAsia" w:eastAsia="宋体"/>
          <w:color w:val="0000FF"/>
          <w:spacing w:val="-3"/>
          <w:u w:val="single" w:color="0000FF"/>
        </w:rPr>
        <w:t>www.beiwobiomedical.com</w:t>
      </w:r>
      <w:r>
        <w:rPr>
          <w:rFonts w:hint="eastAsia" w:eastAsia="宋体"/>
          <w:color w:val="0000FF"/>
          <w:spacing w:val="-3"/>
          <w:u w:val="single" w:color="0000FF"/>
        </w:rPr>
        <w:fldChar w:fldCharType="end"/>
      </w:r>
    </w:p>
    <w:p w14:paraId="4D4F8F55">
      <w:pPr>
        <w:ind w:firstLine="2409" w:firstLineChars="1200"/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400-115-2855</w:t>
      </w:r>
    </w:p>
    <w:p w14:paraId="63DCEB80">
      <w:pPr>
        <w:ind w:firstLine="2100" w:firstLineChars="1000"/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fldChar w:fldCharType="begin"/>
      </w:r>
      <w:r>
        <w:instrText xml:space="preserve"> HYPERLINK "mailto:sales@biomiga.com.cn" \h </w:instrText>
      </w:r>
      <w:r>
        <w:fldChar w:fldCharType="separate"/>
      </w:r>
      <w:r>
        <w:rPr>
          <w:color w:val="0000FF"/>
          <w:u w:val="single" w:color="0000FF"/>
        </w:rPr>
        <w:t>sales@</w:t>
      </w:r>
      <w:r>
        <w:rPr>
          <w:rFonts w:hint="eastAsia" w:eastAsia="宋体"/>
          <w:color w:val="0000FF"/>
          <w:spacing w:val="-3"/>
          <w:u w:val="single" w:color="0000FF"/>
        </w:rPr>
        <w:t>beiwobiomedical</w:t>
      </w:r>
      <w:r>
        <w:rPr>
          <w:color w:val="0000FF"/>
          <w:u w:val="single" w:color="0000FF"/>
        </w:rPr>
        <w:t>.com</w:t>
      </w:r>
      <w:r>
        <w:rPr>
          <w:color w:val="0000FF"/>
          <w:u w:val="single" w:color="0000FF"/>
        </w:rPr>
        <w:fldChar w:fldCharType="end"/>
      </w:r>
    </w:p>
    <w:p w14:paraId="35ABA4FA">
      <w:pPr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hint="eastAsia" w:ascii="Times New Roman" w:hAnsi="Times New Roman" w:eastAsia="宋体" w:cs="Times New Roman"/>
          <w:b/>
          <w:bCs/>
          <w:sz w:val="20"/>
          <w:szCs w:val="22"/>
          <w:lang w:val="en-US" w:eastAsia="zh-CN"/>
        </w:rPr>
        <w:t xml:space="preserve">                             </w:t>
      </w:r>
      <w:r>
        <w:rPr>
          <w:rFonts w:ascii="Times New Roman" w:hAnsi="Times New Roman" w:eastAsia="宋体" w:cs="Times New Roman"/>
          <w:b/>
          <w:bCs/>
          <w:sz w:val="20"/>
          <w:szCs w:val="22"/>
        </w:rPr>
        <w:drawing>
          <wp:inline distT="0" distB="0" distL="114300" distR="114300">
            <wp:extent cx="514350" cy="514350"/>
            <wp:effectExtent l="0" t="0" r="6350" b="6350"/>
            <wp:docPr id="2" name="图片 2" descr="lQDPJwriik6fIVjNBQDNBQCw5mI4mM1HLTAFKYv0qcBPAA_128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DPJwriik6fIVjNBQDNBQCw5mI4mM1HLTAFKYv0qcBPAA_1280_12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EAE07">
      <w:pPr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</w:p>
    <w:sectPr>
      <w:footerReference r:id="rId3" w:type="default"/>
      <w:pgSz w:w="16838" w:h="11906" w:orient="landscape"/>
      <w:pgMar w:top="850" w:right="539" w:bottom="850" w:left="539" w:header="851" w:footer="567" w:gutter="0"/>
      <w:pgNumType w:start="1"/>
      <w:cols w:space="427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EDD53">
    <w:pPr>
      <w:pStyle w:val="4"/>
    </w:pPr>
    <w:r>
      <w:rPr>
        <w:rFonts w:hint="eastAsia"/>
      </w:rPr>
      <w:t xml:space="preserve">                               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B8696"/>
    <w:multiLevelType w:val="singleLevel"/>
    <w:tmpl w:val="AA3B869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D6F0A81E"/>
    <w:multiLevelType w:val="singleLevel"/>
    <w:tmpl w:val="D6F0A81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OTFhNzY3ZDc2OTYwOTMyNGU0M2M5OWUxMmI1MmMifQ=="/>
  </w:docVars>
  <w:rsids>
    <w:rsidRoot w:val="00172A27"/>
    <w:rsid w:val="00012045"/>
    <w:rsid w:val="00172A27"/>
    <w:rsid w:val="00172C4D"/>
    <w:rsid w:val="00197E79"/>
    <w:rsid w:val="00301C68"/>
    <w:rsid w:val="005453AB"/>
    <w:rsid w:val="005E3FE8"/>
    <w:rsid w:val="00A82D04"/>
    <w:rsid w:val="00DB6E17"/>
    <w:rsid w:val="00E81ABE"/>
    <w:rsid w:val="00EB210C"/>
    <w:rsid w:val="00EE1534"/>
    <w:rsid w:val="01FD52FC"/>
    <w:rsid w:val="02295E72"/>
    <w:rsid w:val="036D0A6F"/>
    <w:rsid w:val="03E324CE"/>
    <w:rsid w:val="042174C3"/>
    <w:rsid w:val="04CC436C"/>
    <w:rsid w:val="06A04F9A"/>
    <w:rsid w:val="08BC2D3A"/>
    <w:rsid w:val="08D377E8"/>
    <w:rsid w:val="0A1D45B4"/>
    <w:rsid w:val="0B88411B"/>
    <w:rsid w:val="10542CA8"/>
    <w:rsid w:val="10B708AE"/>
    <w:rsid w:val="10CE62F8"/>
    <w:rsid w:val="1110682E"/>
    <w:rsid w:val="11A5222F"/>
    <w:rsid w:val="1357498E"/>
    <w:rsid w:val="136F19F4"/>
    <w:rsid w:val="14454767"/>
    <w:rsid w:val="14514A48"/>
    <w:rsid w:val="14B117FC"/>
    <w:rsid w:val="156C3F70"/>
    <w:rsid w:val="158B6056"/>
    <w:rsid w:val="160B6B7F"/>
    <w:rsid w:val="16A360FA"/>
    <w:rsid w:val="170D0FE9"/>
    <w:rsid w:val="1A626667"/>
    <w:rsid w:val="1D10728F"/>
    <w:rsid w:val="1E403E36"/>
    <w:rsid w:val="1FCE484E"/>
    <w:rsid w:val="202644FB"/>
    <w:rsid w:val="206031C8"/>
    <w:rsid w:val="20910D03"/>
    <w:rsid w:val="216C1BB1"/>
    <w:rsid w:val="21BB1659"/>
    <w:rsid w:val="22F64010"/>
    <w:rsid w:val="23784EE9"/>
    <w:rsid w:val="252C776C"/>
    <w:rsid w:val="256811AE"/>
    <w:rsid w:val="2590553E"/>
    <w:rsid w:val="25BB7626"/>
    <w:rsid w:val="27F758D7"/>
    <w:rsid w:val="2C5E02B8"/>
    <w:rsid w:val="2CAD3965"/>
    <w:rsid w:val="2CB76DBD"/>
    <w:rsid w:val="2F2F738C"/>
    <w:rsid w:val="30B87DC7"/>
    <w:rsid w:val="313C01A1"/>
    <w:rsid w:val="321163B6"/>
    <w:rsid w:val="32575A9B"/>
    <w:rsid w:val="32F93BA6"/>
    <w:rsid w:val="33867193"/>
    <w:rsid w:val="364E415E"/>
    <w:rsid w:val="36922363"/>
    <w:rsid w:val="38D166E9"/>
    <w:rsid w:val="3A131AF1"/>
    <w:rsid w:val="3AE72626"/>
    <w:rsid w:val="3BE6750B"/>
    <w:rsid w:val="3C105046"/>
    <w:rsid w:val="3E925E2F"/>
    <w:rsid w:val="3F107462"/>
    <w:rsid w:val="3F926E40"/>
    <w:rsid w:val="418925F4"/>
    <w:rsid w:val="424566CD"/>
    <w:rsid w:val="427C6547"/>
    <w:rsid w:val="42BB5FFD"/>
    <w:rsid w:val="42CE6C14"/>
    <w:rsid w:val="434B7EEF"/>
    <w:rsid w:val="43980CD2"/>
    <w:rsid w:val="43D87747"/>
    <w:rsid w:val="43F83C1B"/>
    <w:rsid w:val="45186042"/>
    <w:rsid w:val="468E0B3D"/>
    <w:rsid w:val="490E54DF"/>
    <w:rsid w:val="495111D9"/>
    <w:rsid w:val="49713C73"/>
    <w:rsid w:val="4AC4406E"/>
    <w:rsid w:val="4B5B7917"/>
    <w:rsid w:val="4BB8115B"/>
    <w:rsid w:val="4C0D7FDC"/>
    <w:rsid w:val="4C80772B"/>
    <w:rsid w:val="4E7A3E21"/>
    <w:rsid w:val="4E975333"/>
    <w:rsid w:val="50E536DC"/>
    <w:rsid w:val="50E967EC"/>
    <w:rsid w:val="53BB48F5"/>
    <w:rsid w:val="56086538"/>
    <w:rsid w:val="57B0420C"/>
    <w:rsid w:val="58C91FDA"/>
    <w:rsid w:val="59786694"/>
    <w:rsid w:val="5AFF2CF7"/>
    <w:rsid w:val="5C3571BF"/>
    <w:rsid w:val="5C3B1DC5"/>
    <w:rsid w:val="5CA3344F"/>
    <w:rsid w:val="5DF25036"/>
    <w:rsid w:val="5E2E3ECA"/>
    <w:rsid w:val="5E3E54B9"/>
    <w:rsid w:val="5FCA4F15"/>
    <w:rsid w:val="62997C7C"/>
    <w:rsid w:val="635A2400"/>
    <w:rsid w:val="654A7BE0"/>
    <w:rsid w:val="66AE1D6C"/>
    <w:rsid w:val="66BC1EF7"/>
    <w:rsid w:val="67380427"/>
    <w:rsid w:val="688668BB"/>
    <w:rsid w:val="69E566C9"/>
    <w:rsid w:val="6AC13E8E"/>
    <w:rsid w:val="6BBB03FF"/>
    <w:rsid w:val="6C565881"/>
    <w:rsid w:val="6E064B31"/>
    <w:rsid w:val="6F533287"/>
    <w:rsid w:val="717C0EEB"/>
    <w:rsid w:val="74D13FAE"/>
    <w:rsid w:val="750C4CA1"/>
    <w:rsid w:val="75784193"/>
    <w:rsid w:val="772A6498"/>
    <w:rsid w:val="77330023"/>
    <w:rsid w:val="77D81F23"/>
    <w:rsid w:val="795F5C83"/>
    <w:rsid w:val="79B30C33"/>
    <w:rsid w:val="79CA17A1"/>
    <w:rsid w:val="7B4348CC"/>
    <w:rsid w:val="7B53170F"/>
    <w:rsid w:val="7C45053A"/>
    <w:rsid w:val="7F275405"/>
    <w:rsid w:val="EDF7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360" w:lineRule="auto"/>
      <w:outlineLvl w:val="0"/>
    </w:pPr>
    <w:rPr>
      <w:rFonts w:ascii="Times New Roman" w:hAnsi="Times New Roman" w:eastAsia="宋体" w:cs="Times New Roman"/>
      <w:b/>
      <w:bCs/>
      <w:kern w:val="44"/>
      <w:sz w:val="2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outlineLvl w:val="1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24"/>
      <w:szCs w:val="44"/>
    </w:r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Kingsoft</Company>
  <Pages>2</Pages>
  <Words>1376</Words>
  <Characters>2325</Characters>
  <Lines>18</Lines>
  <Paragraphs>5</Paragraphs>
  <TotalTime>0</TotalTime>
  <ScaleCrop>false</ScaleCrop>
  <LinksUpToDate>false</LinksUpToDate>
  <CharactersWithSpaces>2531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2019-05-20T17:07:00Z</dcterms:created>
  <dc:creator>slp</dc:creator>
  <cp:lastModifiedBy>筱洋</cp:lastModifiedBy>
  <cp:lastPrinted>2019-05-20T17:04:00Z</cp:lastPrinted>
  <dcterms:modified xsi:type="dcterms:W3CDTF">2025-01-15T07:40:42Z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3DD5DABD59254B278FD10D256AD52101</vt:lpwstr>
  </property>
  <property fmtid="{D5CDD505-2E9C-101B-9397-08002B2CF9AE}" pid="4" name="KSOTemplateDocerSaveRecord">
    <vt:lpwstr>eyJoZGlkIjoiYjYxNmYwNTMyMWZiMDdlNDNkNzY1YzJlZmFlZTdjZmIiLCJ1c2VySWQiOiIyNDc1NzE3MDEifQ==</vt:lpwstr>
  </property>
</Properties>
</file>